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DB6304" w:rsidRDefault="0038079C" w:rsidP="000D45B6">
      <w:pPr>
        <w:jc w:val="center"/>
        <w:rPr>
          <w:rFonts w:ascii="Cambria" w:hAnsi="Cambria"/>
          <w:noProof/>
          <w:lang w:eastAsia="fr-FR"/>
        </w:rPr>
      </w:pPr>
      <w:r w:rsidRPr="00DB6304">
        <w:rPr>
          <w:rFonts w:ascii="Cambria" w:hAnsi="Cambria"/>
          <w:noProof/>
          <w:lang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DB6304">
        <w:rPr>
          <w:rFonts w:ascii="Cambria" w:hAnsi="Cambria"/>
          <w:noProof/>
          <w:lang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DB6304" w:rsidRDefault="00664E1E" w:rsidP="000D45B6">
      <w:pPr>
        <w:jc w:val="center"/>
        <w:rPr>
          <w:rFonts w:ascii="Cambria" w:hAnsi="Cambria"/>
          <w:b/>
          <w:noProof/>
          <w:color w:val="993366"/>
          <w:lang w:eastAsia="fr-FR"/>
        </w:rPr>
      </w:pPr>
    </w:p>
    <w:p w14:paraId="4D247E99" w14:textId="77777777" w:rsidR="00664E1E" w:rsidRPr="00DB6304" w:rsidRDefault="00664E1E" w:rsidP="000D45B6">
      <w:pPr>
        <w:jc w:val="center"/>
        <w:rPr>
          <w:rFonts w:ascii="Cambria" w:hAnsi="Cambria"/>
          <w:b/>
          <w:color w:val="993366"/>
        </w:rPr>
      </w:pPr>
    </w:p>
    <w:p w14:paraId="0C199B23" w14:textId="77777777" w:rsidR="000D45B6" w:rsidRPr="00DB6304" w:rsidRDefault="000D45B6" w:rsidP="000D45B6">
      <w:pPr>
        <w:jc w:val="center"/>
        <w:rPr>
          <w:rFonts w:ascii="Cambria" w:hAnsi="Cambria"/>
          <w:b/>
          <w:color w:val="993366"/>
        </w:rPr>
      </w:pPr>
    </w:p>
    <w:p w14:paraId="4D61423D" w14:textId="77777777" w:rsidR="000D45B6" w:rsidRPr="00DB6304" w:rsidRDefault="000D45B6" w:rsidP="000D45B6">
      <w:pPr>
        <w:jc w:val="center"/>
        <w:rPr>
          <w:rFonts w:ascii="Cambria" w:hAnsi="Cambria"/>
          <w:b/>
          <w:color w:val="993366"/>
        </w:rPr>
      </w:pPr>
    </w:p>
    <w:p w14:paraId="273704AA" w14:textId="77777777" w:rsidR="00206CF6" w:rsidRPr="00DB6304" w:rsidRDefault="00206CF6" w:rsidP="00206CF6">
      <w:pPr>
        <w:rPr>
          <w:rFonts w:ascii="Cambria" w:hAnsi="Cambria"/>
          <w:b/>
          <w:color w:val="993366"/>
        </w:rPr>
      </w:pPr>
    </w:p>
    <w:p w14:paraId="04BAB3D2" w14:textId="77777777" w:rsidR="00206CF6" w:rsidRPr="00DB6304" w:rsidRDefault="00206CF6" w:rsidP="00206CF6">
      <w:pPr>
        <w:tabs>
          <w:tab w:val="center" w:pos="4533"/>
          <w:tab w:val="left" w:pos="6544"/>
        </w:tabs>
        <w:rPr>
          <w:rFonts w:ascii="Cambria" w:hAnsi="Cambria"/>
          <w:b/>
          <w:u w:val="single"/>
        </w:rPr>
      </w:pPr>
      <w:r w:rsidRPr="00DB6304">
        <w:rPr>
          <w:rFonts w:ascii="Cambria" w:hAnsi="Cambria" w:cs="Arial"/>
          <w:b/>
          <w:i/>
          <w:noProof/>
          <w:lang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5="http://schemas.microsoft.com/office/word/2012/wordml">
            <w:pict>
              <v:line w14:anchorId="45B10203"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" strokecolor="black [3213]" strokeweight="1.5pt">
                <v:stroke joinstyle="miter"/>
              </v:line>
            </w:pict>
          </mc:Fallback>
        </mc:AlternateContent>
      </w:r>
    </w:p>
    <w:p w14:paraId="09912C66" w14:textId="77777777" w:rsidR="00206CF6" w:rsidRPr="00DB6304" w:rsidRDefault="00206CF6" w:rsidP="00206CF6">
      <w:pPr>
        <w:tabs>
          <w:tab w:val="left" w:pos="3240"/>
        </w:tabs>
        <w:jc w:val="center"/>
        <w:rPr>
          <w:rFonts w:ascii="Cambria" w:hAnsi="Cambria" w:cs="Arial"/>
          <w:b/>
        </w:rPr>
      </w:pPr>
      <w:r w:rsidRPr="00DB6304">
        <w:rPr>
          <w:rFonts w:ascii="Cambria" w:hAnsi="Cambria" w:cs="Arial"/>
          <w:b/>
        </w:rPr>
        <w:t>BUREAU DE LA COMMUNICATION</w:t>
      </w:r>
    </w:p>
    <w:p w14:paraId="023EE4C0" w14:textId="11C5ADCF" w:rsidR="00B06B70" w:rsidRPr="00DB6304" w:rsidRDefault="00EA5F60" w:rsidP="00B06B70">
      <w:pPr>
        <w:tabs>
          <w:tab w:val="left" w:pos="3240"/>
        </w:tabs>
        <w:jc w:val="center"/>
        <w:rPr>
          <w:rFonts w:ascii="Cambria" w:hAnsi="Cambria" w:cs="Arial"/>
          <w:b/>
          <w:i/>
        </w:rPr>
      </w:pPr>
      <w:r w:rsidRPr="00DB6304">
        <w:rPr>
          <w:rFonts w:ascii="Cambria" w:hAnsi="Cambria" w:cs="Arial"/>
          <w:b/>
          <w:i/>
        </w:rPr>
        <w:t xml:space="preserve">Mercredi </w:t>
      </w:r>
      <w:r w:rsidR="0087175A">
        <w:rPr>
          <w:rFonts w:ascii="Cambria" w:hAnsi="Cambria" w:cs="Arial"/>
          <w:b/>
          <w:i/>
        </w:rPr>
        <w:t>21</w:t>
      </w:r>
      <w:r w:rsidR="008E6D59" w:rsidRPr="00DB6304">
        <w:rPr>
          <w:rFonts w:ascii="Cambria" w:hAnsi="Cambria" w:cs="Arial"/>
          <w:b/>
          <w:i/>
        </w:rPr>
        <w:t xml:space="preserve"> septembre</w:t>
      </w:r>
      <w:r w:rsidR="00E76146" w:rsidRPr="00DB6304">
        <w:rPr>
          <w:rFonts w:ascii="Cambria" w:hAnsi="Cambria" w:cs="Arial"/>
          <w:b/>
          <w:i/>
        </w:rPr>
        <w:t xml:space="preserve"> </w:t>
      </w:r>
      <w:r w:rsidR="00E365F4" w:rsidRPr="00DB6304">
        <w:rPr>
          <w:rFonts w:ascii="Cambria" w:hAnsi="Cambria" w:cs="Arial"/>
          <w:b/>
          <w:i/>
        </w:rPr>
        <w:t>201</w:t>
      </w:r>
      <w:r w:rsidR="00DF4FA1" w:rsidRPr="00DB6304">
        <w:rPr>
          <w:rFonts w:ascii="Cambria" w:hAnsi="Cambria" w:cs="Arial"/>
          <w:b/>
          <w:i/>
        </w:rPr>
        <w:t>6</w:t>
      </w:r>
    </w:p>
    <w:p w14:paraId="64E1B831" w14:textId="2205C61B" w:rsidR="00206CF6" w:rsidRPr="00DB6304" w:rsidRDefault="000D441C" w:rsidP="000D441C">
      <w:pPr>
        <w:tabs>
          <w:tab w:val="left" w:pos="3240"/>
        </w:tabs>
        <w:jc w:val="center"/>
        <w:rPr>
          <w:rFonts w:ascii="Cambria" w:hAnsi="Cambria" w:cs="Arial"/>
          <w:b/>
          <w:i/>
        </w:rPr>
      </w:pPr>
      <w:r w:rsidRPr="00DB6304">
        <w:rPr>
          <w:rFonts w:ascii="Cambria" w:hAnsi="Cambria" w:cs="Arial"/>
          <w:b/>
          <w:i/>
          <w:noProof/>
          <w:lang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5="http://schemas.microsoft.com/office/word/2012/wordml">
            <w:pict>
              <v:line w14:anchorId="109D4147"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DB6304" w:rsidRDefault="000D441C" w:rsidP="000D441C">
      <w:pPr>
        <w:tabs>
          <w:tab w:val="left" w:pos="3240"/>
        </w:tabs>
        <w:jc w:val="center"/>
        <w:rPr>
          <w:rFonts w:ascii="Cambria" w:hAnsi="Cambria" w:cs="Arial"/>
          <w:b/>
          <w:i/>
        </w:rPr>
      </w:pPr>
    </w:p>
    <w:p w14:paraId="42641A59" w14:textId="389D2ED8" w:rsidR="00206CF6" w:rsidRPr="00DB6304"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rPr>
      </w:pPr>
      <w:r w:rsidRPr="00DB6304">
        <w:rPr>
          <w:rFonts w:ascii="Cambria" w:hAnsi="Cambria"/>
          <w:b/>
        </w:rPr>
        <w:tab/>
        <w:t>Com</w:t>
      </w:r>
      <w:r w:rsidR="00365BE7" w:rsidRPr="00DB6304">
        <w:rPr>
          <w:rFonts w:ascii="Cambria" w:hAnsi="Cambria"/>
          <w:b/>
        </w:rPr>
        <w:t>p</w:t>
      </w:r>
      <w:r w:rsidRPr="00DB6304">
        <w:rPr>
          <w:rFonts w:ascii="Cambria" w:hAnsi="Cambria"/>
          <w:b/>
        </w:rPr>
        <w:t>te rendu</w:t>
      </w:r>
      <w:r w:rsidR="00FF1109" w:rsidRPr="00DB6304">
        <w:rPr>
          <w:rFonts w:ascii="Cambria" w:hAnsi="Cambria"/>
          <w:b/>
        </w:rPr>
        <w:t xml:space="preserve"> du Conseil des Ministres </w:t>
      </w:r>
    </w:p>
    <w:p w14:paraId="6D03C58D" w14:textId="77777777" w:rsidR="00B93726" w:rsidRPr="00B93726" w:rsidRDefault="00B93726" w:rsidP="00B93726">
      <w:pPr>
        <w:rPr>
          <w:rFonts w:ascii="Cambria" w:hAnsi="Cambria"/>
        </w:rPr>
      </w:pPr>
    </w:p>
    <w:p w14:paraId="3681D074" w14:textId="77777777" w:rsidR="00276450" w:rsidRDefault="00276450" w:rsidP="00B93726">
      <w:pPr>
        <w:rPr>
          <w:rFonts w:ascii="Cambria" w:hAnsi="Cambria"/>
          <w:b/>
        </w:rPr>
      </w:pPr>
    </w:p>
    <w:p w14:paraId="66378E1F" w14:textId="54842EF0" w:rsidR="00B93726" w:rsidRDefault="00B93726" w:rsidP="00B93726">
      <w:pPr>
        <w:rPr>
          <w:rFonts w:ascii="Cambria" w:hAnsi="Cambria"/>
          <w:b/>
        </w:rPr>
      </w:pPr>
      <w:r w:rsidRPr="00B93726">
        <w:rPr>
          <w:rFonts w:ascii="Cambria" w:hAnsi="Cambria"/>
          <w:b/>
        </w:rPr>
        <w:t>31ème édition de la « Foire Agricole »</w:t>
      </w:r>
    </w:p>
    <w:p w14:paraId="6E099363" w14:textId="77777777" w:rsidR="00B93726" w:rsidRPr="00B93726" w:rsidRDefault="00B93726" w:rsidP="00B93726">
      <w:pPr>
        <w:rPr>
          <w:rFonts w:ascii="Cambria" w:hAnsi="Cambria"/>
          <w:b/>
        </w:rPr>
      </w:pPr>
    </w:p>
    <w:p w14:paraId="396B0DF4" w14:textId="723A66E3" w:rsidR="00B93726" w:rsidRPr="00B93726" w:rsidRDefault="00B93726" w:rsidP="00B93726">
      <w:pPr>
        <w:jc w:val="both"/>
        <w:rPr>
          <w:rFonts w:ascii="Cambria" w:hAnsi="Cambria"/>
        </w:rPr>
      </w:pPr>
      <w:r w:rsidRPr="00B93726">
        <w:rPr>
          <w:rFonts w:ascii="Cambria" w:hAnsi="Cambria"/>
        </w:rPr>
        <w:t xml:space="preserve">A l’initiative de la Chambre de l’Agriculture et de la Pêche </w:t>
      </w:r>
      <w:proofErr w:type="spellStart"/>
      <w:r w:rsidRPr="00B93726">
        <w:rPr>
          <w:rFonts w:ascii="Cambria" w:hAnsi="Cambria"/>
        </w:rPr>
        <w:t>Lagonaire</w:t>
      </w:r>
      <w:proofErr w:type="spellEnd"/>
      <w:r w:rsidRPr="00B93726">
        <w:rPr>
          <w:rFonts w:ascii="Cambria" w:hAnsi="Cambria"/>
        </w:rPr>
        <w:t xml:space="preserve">, sous le haut patronage du Président de la Polynésie française, en collaboration avec le service du développement rural et la Fédération horticole </w:t>
      </w:r>
      <w:proofErr w:type="spellStart"/>
      <w:r w:rsidRPr="00B93726">
        <w:rPr>
          <w:rFonts w:ascii="Cambria" w:hAnsi="Cambria"/>
        </w:rPr>
        <w:t>Hei</w:t>
      </w:r>
      <w:proofErr w:type="spellEnd"/>
      <w:r w:rsidRPr="00B93726">
        <w:rPr>
          <w:rFonts w:ascii="Cambria" w:hAnsi="Cambria"/>
        </w:rPr>
        <w:t xml:space="preserve"> </w:t>
      </w:r>
      <w:proofErr w:type="spellStart"/>
      <w:r w:rsidRPr="00B93726">
        <w:rPr>
          <w:rFonts w:ascii="Cambria" w:hAnsi="Cambria"/>
        </w:rPr>
        <w:t>Tini</w:t>
      </w:r>
      <w:proofErr w:type="spellEnd"/>
      <w:r w:rsidRPr="00B93726">
        <w:rPr>
          <w:rFonts w:ascii="Cambria" w:hAnsi="Cambria"/>
        </w:rPr>
        <w:t xml:space="preserve"> </w:t>
      </w:r>
      <w:proofErr w:type="spellStart"/>
      <w:r w:rsidRPr="00B93726">
        <w:rPr>
          <w:rFonts w:ascii="Cambria" w:hAnsi="Cambria"/>
        </w:rPr>
        <w:t>Rau</w:t>
      </w:r>
      <w:proofErr w:type="spellEnd"/>
      <w:r w:rsidRPr="00B93726">
        <w:rPr>
          <w:rFonts w:ascii="Cambria" w:hAnsi="Cambria"/>
        </w:rPr>
        <w:t xml:space="preserve">, </w:t>
      </w:r>
      <w:r w:rsidR="00975F1B">
        <w:rPr>
          <w:rFonts w:ascii="Cambria" w:hAnsi="Cambria"/>
        </w:rPr>
        <w:t xml:space="preserve">et </w:t>
      </w:r>
      <w:r w:rsidRPr="00B93726">
        <w:rPr>
          <w:rFonts w:ascii="Cambria" w:hAnsi="Cambria"/>
        </w:rPr>
        <w:t xml:space="preserve">dans le cadre de la promotion des produits locaux et des métiers de l’agriculture, la 31ème édition de la « Foire Agricole » se déroulera du </w:t>
      </w:r>
      <w:r w:rsidR="00975F1B">
        <w:rPr>
          <w:rFonts w:ascii="Cambria" w:hAnsi="Cambria"/>
        </w:rPr>
        <w:t>j</w:t>
      </w:r>
      <w:r w:rsidRPr="00B93726">
        <w:rPr>
          <w:rFonts w:ascii="Cambria" w:hAnsi="Cambria"/>
        </w:rPr>
        <w:t xml:space="preserve">eudi 29 </w:t>
      </w:r>
      <w:r w:rsidR="00975F1B">
        <w:rPr>
          <w:rFonts w:ascii="Cambria" w:hAnsi="Cambria"/>
        </w:rPr>
        <w:t>s</w:t>
      </w:r>
      <w:r w:rsidRPr="00B93726">
        <w:rPr>
          <w:rFonts w:ascii="Cambria" w:hAnsi="Cambria"/>
        </w:rPr>
        <w:t xml:space="preserve">eptembre au </w:t>
      </w:r>
      <w:r w:rsidR="00975F1B">
        <w:rPr>
          <w:rFonts w:ascii="Cambria" w:hAnsi="Cambria"/>
        </w:rPr>
        <w:t>d</w:t>
      </w:r>
      <w:r w:rsidRPr="00B93726">
        <w:rPr>
          <w:rFonts w:ascii="Cambria" w:hAnsi="Cambria"/>
        </w:rPr>
        <w:t xml:space="preserve">imanche 9 </w:t>
      </w:r>
      <w:r w:rsidR="00975F1B">
        <w:rPr>
          <w:rFonts w:ascii="Cambria" w:hAnsi="Cambria"/>
        </w:rPr>
        <w:t>o</w:t>
      </w:r>
      <w:r w:rsidRPr="00B93726">
        <w:rPr>
          <w:rFonts w:ascii="Cambria" w:hAnsi="Cambria"/>
        </w:rPr>
        <w:t xml:space="preserve">ctobre </w:t>
      </w:r>
      <w:r w:rsidR="00975F1B">
        <w:rPr>
          <w:rFonts w:ascii="Cambria" w:hAnsi="Cambria"/>
        </w:rPr>
        <w:t>prochains</w:t>
      </w:r>
      <w:r w:rsidRPr="00B93726">
        <w:rPr>
          <w:rFonts w:ascii="Cambria" w:hAnsi="Cambria"/>
        </w:rPr>
        <w:t xml:space="preserve">, sur le site de </w:t>
      </w:r>
      <w:proofErr w:type="spellStart"/>
      <w:r w:rsidRPr="00B93726">
        <w:rPr>
          <w:rFonts w:ascii="Cambria" w:hAnsi="Cambria"/>
        </w:rPr>
        <w:t>Vaitupa</w:t>
      </w:r>
      <w:proofErr w:type="spellEnd"/>
      <w:r w:rsidRPr="00B93726">
        <w:rPr>
          <w:rFonts w:ascii="Cambria" w:hAnsi="Cambria"/>
        </w:rPr>
        <w:t xml:space="preserve"> à </w:t>
      </w:r>
      <w:proofErr w:type="spellStart"/>
      <w:r w:rsidRPr="00B93726">
        <w:rPr>
          <w:rFonts w:ascii="Cambria" w:hAnsi="Cambria"/>
        </w:rPr>
        <w:t>Faa’a</w:t>
      </w:r>
      <w:proofErr w:type="spellEnd"/>
      <w:r w:rsidRPr="00B93726">
        <w:rPr>
          <w:rFonts w:ascii="Cambria" w:hAnsi="Cambria"/>
        </w:rPr>
        <w:t>.</w:t>
      </w:r>
      <w:r w:rsidR="00975F1B">
        <w:rPr>
          <w:rFonts w:ascii="Cambria" w:hAnsi="Cambria"/>
        </w:rPr>
        <w:t xml:space="preserve"> </w:t>
      </w:r>
      <w:r w:rsidRPr="00B93726">
        <w:rPr>
          <w:rFonts w:ascii="Cambria" w:hAnsi="Cambria"/>
        </w:rPr>
        <w:t xml:space="preserve">L’ouverture officielle de la foire se déroulera le 29 </w:t>
      </w:r>
      <w:r w:rsidR="00975F1B">
        <w:rPr>
          <w:rFonts w:ascii="Cambria" w:hAnsi="Cambria"/>
        </w:rPr>
        <w:t>s</w:t>
      </w:r>
      <w:r w:rsidRPr="00B93726">
        <w:rPr>
          <w:rFonts w:ascii="Cambria" w:hAnsi="Cambria"/>
        </w:rPr>
        <w:t>epte</w:t>
      </w:r>
      <w:r w:rsidR="00975F1B">
        <w:rPr>
          <w:rFonts w:ascii="Cambria" w:hAnsi="Cambria"/>
        </w:rPr>
        <w:t xml:space="preserve">mbre, à 10h, </w:t>
      </w:r>
      <w:r w:rsidRPr="00B93726">
        <w:rPr>
          <w:rFonts w:ascii="Cambria" w:hAnsi="Cambria"/>
        </w:rPr>
        <w:t xml:space="preserve">en présence du Président de la Polynésie française et </w:t>
      </w:r>
      <w:r w:rsidR="00975F1B">
        <w:rPr>
          <w:rFonts w:ascii="Cambria" w:hAnsi="Cambria"/>
        </w:rPr>
        <w:t xml:space="preserve">de </w:t>
      </w:r>
      <w:r w:rsidRPr="00B93726">
        <w:rPr>
          <w:rFonts w:ascii="Cambria" w:hAnsi="Cambria"/>
        </w:rPr>
        <w:t>son gouvernement.</w:t>
      </w:r>
    </w:p>
    <w:p w14:paraId="5B032880" w14:textId="77777777" w:rsidR="00B93726" w:rsidRPr="00B93726" w:rsidRDefault="00B93726" w:rsidP="00B93726">
      <w:pPr>
        <w:jc w:val="both"/>
        <w:rPr>
          <w:rFonts w:ascii="Cambria" w:hAnsi="Cambria"/>
        </w:rPr>
      </w:pPr>
    </w:p>
    <w:p w14:paraId="23358EB1" w14:textId="0F560981" w:rsidR="00B93726" w:rsidRPr="00B93726" w:rsidRDefault="00B93726" w:rsidP="00B93726">
      <w:pPr>
        <w:jc w:val="both"/>
        <w:rPr>
          <w:rFonts w:ascii="Cambria" w:hAnsi="Cambria"/>
        </w:rPr>
      </w:pPr>
      <w:r w:rsidRPr="00B93726">
        <w:rPr>
          <w:rFonts w:ascii="Cambria" w:hAnsi="Cambria"/>
        </w:rPr>
        <w:t>Cette année la thématique qui s</w:t>
      </w:r>
      <w:r w:rsidR="00975F1B">
        <w:rPr>
          <w:rFonts w:ascii="Cambria" w:hAnsi="Cambria"/>
        </w:rPr>
        <w:t>era développée pendant 11 jours</w:t>
      </w:r>
      <w:r w:rsidRPr="00B93726">
        <w:rPr>
          <w:rFonts w:ascii="Cambria" w:hAnsi="Cambria"/>
        </w:rPr>
        <w:t xml:space="preserve"> est « L’homme face à son environnement » ou</w:t>
      </w:r>
      <w:r w:rsidR="00975F1B">
        <w:rPr>
          <w:rFonts w:ascii="Cambria" w:hAnsi="Cambria"/>
        </w:rPr>
        <w:t>,</w:t>
      </w:r>
      <w:r w:rsidRPr="00B93726">
        <w:rPr>
          <w:rFonts w:ascii="Cambria" w:hAnsi="Cambria"/>
        </w:rPr>
        <w:t xml:space="preserve"> en tahitien</w:t>
      </w:r>
      <w:r w:rsidR="00975F1B">
        <w:rPr>
          <w:rFonts w:ascii="Cambria" w:hAnsi="Cambria"/>
        </w:rPr>
        <w:t>,</w:t>
      </w:r>
      <w:r w:rsidRPr="00B93726">
        <w:rPr>
          <w:rFonts w:ascii="Cambria" w:hAnsi="Cambria"/>
        </w:rPr>
        <w:t xml:space="preserve"> « Te </w:t>
      </w:r>
      <w:proofErr w:type="spellStart"/>
      <w:r w:rsidRPr="00B93726">
        <w:rPr>
          <w:rFonts w:ascii="Cambria" w:hAnsi="Cambria"/>
        </w:rPr>
        <w:t>Arutaimareva</w:t>
      </w:r>
      <w:proofErr w:type="spellEnd"/>
      <w:r w:rsidRPr="00B93726">
        <w:rPr>
          <w:rFonts w:ascii="Cambria" w:hAnsi="Cambria"/>
        </w:rPr>
        <w:t xml:space="preserve"> a </w:t>
      </w:r>
      <w:proofErr w:type="spellStart"/>
      <w:r w:rsidRPr="00B93726">
        <w:rPr>
          <w:rFonts w:ascii="Cambria" w:hAnsi="Cambria"/>
        </w:rPr>
        <w:t>tatōu</w:t>
      </w:r>
      <w:proofErr w:type="spellEnd"/>
      <w:r w:rsidRPr="00B93726">
        <w:rPr>
          <w:rFonts w:ascii="Cambria" w:hAnsi="Cambria"/>
        </w:rPr>
        <w:t xml:space="preserve"> ». Un thème relatant </w:t>
      </w:r>
      <w:r w:rsidR="00975F1B">
        <w:rPr>
          <w:rFonts w:ascii="Cambria" w:hAnsi="Cambria"/>
        </w:rPr>
        <w:t>l</w:t>
      </w:r>
      <w:r w:rsidRPr="00B93726">
        <w:rPr>
          <w:rFonts w:ascii="Cambria" w:hAnsi="Cambria"/>
        </w:rPr>
        <w:t>es efforts que les agriculteurs du Fenua font pour améliorer l</w:t>
      </w:r>
      <w:r w:rsidR="00975F1B">
        <w:rPr>
          <w:rFonts w:ascii="Cambria" w:hAnsi="Cambria"/>
        </w:rPr>
        <w:t>eur</w:t>
      </w:r>
      <w:r w:rsidRPr="00B93726">
        <w:rPr>
          <w:rFonts w:ascii="Cambria" w:hAnsi="Cambria"/>
        </w:rPr>
        <w:t xml:space="preserve"> production </w:t>
      </w:r>
      <w:r w:rsidR="00975F1B">
        <w:rPr>
          <w:rFonts w:ascii="Cambria" w:hAnsi="Cambria"/>
        </w:rPr>
        <w:t>et que</w:t>
      </w:r>
      <w:r w:rsidRPr="00B93726">
        <w:rPr>
          <w:rFonts w:ascii="Cambria" w:hAnsi="Cambria"/>
        </w:rPr>
        <w:t xml:space="preserve"> pour que les générations à venir puissent elles aussi en profiter. </w:t>
      </w:r>
      <w:r w:rsidR="00975F1B">
        <w:rPr>
          <w:rFonts w:ascii="Cambria" w:hAnsi="Cambria"/>
        </w:rPr>
        <w:t xml:space="preserve">Le </w:t>
      </w:r>
      <w:r w:rsidRPr="00B93726">
        <w:rPr>
          <w:rFonts w:ascii="Cambria" w:hAnsi="Cambria"/>
        </w:rPr>
        <w:t xml:space="preserve">thème de cette année est plus porté sur la production locale et son avenir, et non </w:t>
      </w:r>
      <w:r w:rsidR="00975F1B">
        <w:rPr>
          <w:rFonts w:ascii="Cambria" w:hAnsi="Cambria"/>
        </w:rPr>
        <w:t>sur</w:t>
      </w:r>
      <w:r w:rsidRPr="00B93726">
        <w:rPr>
          <w:rFonts w:ascii="Cambria" w:hAnsi="Cambria"/>
        </w:rPr>
        <w:t xml:space="preserve"> la préservation de l’environnement, même si ce dernier reste un </w:t>
      </w:r>
      <w:r w:rsidR="00975F1B">
        <w:rPr>
          <w:rFonts w:ascii="Cambria" w:hAnsi="Cambria"/>
        </w:rPr>
        <w:t>thème majeur également</w:t>
      </w:r>
      <w:r w:rsidRPr="00B93726">
        <w:rPr>
          <w:rFonts w:ascii="Cambria" w:hAnsi="Cambria"/>
        </w:rPr>
        <w:t>.</w:t>
      </w:r>
    </w:p>
    <w:p w14:paraId="58AFEE1F" w14:textId="77777777" w:rsidR="00B93726" w:rsidRPr="00B93726" w:rsidRDefault="00B93726" w:rsidP="00B93726">
      <w:pPr>
        <w:jc w:val="both"/>
        <w:rPr>
          <w:rFonts w:ascii="Cambria" w:hAnsi="Cambria"/>
        </w:rPr>
      </w:pPr>
    </w:p>
    <w:p w14:paraId="38AFA4C2" w14:textId="665C98FC" w:rsidR="00B93726" w:rsidRPr="00B93726" w:rsidRDefault="00B93726" w:rsidP="00B93726">
      <w:pPr>
        <w:jc w:val="both"/>
        <w:rPr>
          <w:rFonts w:ascii="Cambria" w:hAnsi="Cambria"/>
        </w:rPr>
      </w:pPr>
      <w:r w:rsidRPr="00B93726">
        <w:rPr>
          <w:rFonts w:ascii="Cambria" w:hAnsi="Cambria"/>
        </w:rPr>
        <w:t xml:space="preserve">L’objectif premier de la Foire </w:t>
      </w:r>
      <w:r w:rsidR="00975F1B">
        <w:rPr>
          <w:rFonts w:ascii="Cambria" w:hAnsi="Cambria"/>
        </w:rPr>
        <w:t>a</w:t>
      </w:r>
      <w:r w:rsidRPr="00B93726">
        <w:rPr>
          <w:rFonts w:ascii="Cambria" w:hAnsi="Cambria"/>
        </w:rPr>
        <w:t xml:space="preserve">gricole est de rassembler dans un même lieu tous les acteurs majeurs de la production agricole en Polynésie </w:t>
      </w:r>
      <w:r w:rsidR="00975F1B">
        <w:rPr>
          <w:rFonts w:ascii="Cambria" w:hAnsi="Cambria"/>
        </w:rPr>
        <w:t>f</w:t>
      </w:r>
      <w:r w:rsidRPr="00B93726">
        <w:rPr>
          <w:rFonts w:ascii="Cambria" w:hAnsi="Cambria"/>
        </w:rPr>
        <w:t>rançaise</w:t>
      </w:r>
      <w:r w:rsidR="00975F1B">
        <w:rPr>
          <w:rFonts w:ascii="Cambria" w:hAnsi="Cambria"/>
        </w:rPr>
        <w:t>,</w:t>
      </w:r>
      <w:r w:rsidRPr="00B93726">
        <w:rPr>
          <w:rFonts w:ascii="Cambria" w:hAnsi="Cambria"/>
        </w:rPr>
        <w:t xml:space="preserve"> et toutes ses filières, dans le but de les exposer au grand public et ainsi promouvoir ces secteurs. La </w:t>
      </w:r>
      <w:r w:rsidR="00975F1B">
        <w:rPr>
          <w:rFonts w:ascii="Cambria" w:hAnsi="Cambria"/>
        </w:rPr>
        <w:t>F</w:t>
      </w:r>
      <w:r w:rsidRPr="00B93726">
        <w:rPr>
          <w:rFonts w:ascii="Cambria" w:hAnsi="Cambria"/>
        </w:rPr>
        <w:t xml:space="preserve">oire agricole est aussi un bon moyen pour communiquer de nouvelles techniques aux agriculteurs mais aussi à tous ceux qui aspirent à devenir agriculteurs. La foire sert aussi à sensibiliser la population sur l’importance de l’agriculture dans notre société et de valoriser l’achat de produits d’origine locale. </w:t>
      </w:r>
    </w:p>
    <w:p w14:paraId="58857D2D" w14:textId="77777777" w:rsidR="00B93726" w:rsidRDefault="00B93726" w:rsidP="00B93726">
      <w:pPr>
        <w:jc w:val="both"/>
        <w:rPr>
          <w:rFonts w:ascii="Cambria" w:hAnsi="Cambria"/>
        </w:rPr>
      </w:pPr>
    </w:p>
    <w:p w14:paraId="7D2C4CD6" w14:textId="3B99DCDC" w:rsidR="00B93726" w:rsidRPr="00B93726" w:rsidRDefault="00B93726" w:rsidP="00975F1B">
      <w:pPr>
        <w:jc w:val="both"/>
        <w:rPr>
          <w:rFonts w:ascii="Cambria" w:hAnsi="Cambria"/>
        </w:rPr>
      </w:pPr>
      <w:r w:rsidRPr="00B93726">
        <w:rPr>
          <w:rFonts w:ascii="Cambria" w:hAnsi="Cambria"/>
        </w:rPr>
        <w:t xml:space="preserve">Tout ce qui touche au secteur primaire </w:t>
      </w:r>
      <w:r w:rsidR="00975F1B">
        <w:rPr>
          <w:rFonts w:ascii="Cambria" w:hAnsi="Cambria"/>
        </w:rPr>
        <w:t xml:space="preserve">sera présent à la foire, avec donc 74 agriculteurs, </w:t>
      </w:r>
      <w:r w:rsidRPr="00B93726">
        <w:rPr>
          <w:rFonts w:ascii="Cambria" w:hAnsi="Cambria"/>
        </w:rPr>
        <w:t>12 éleveurs</w:t>
      </w:r>
      <w:r w:rsidR="00975F1B">
        <w:rPr>
          <w:rFonts w:ascii="Cambria" w:hAnsi="Cambria"/>
        </w:rPr>
        <w:t xml:space="preserve">, </w:t>
      </w:r>
      <w:r w:rsidRPr="00B93726">
        <w:rPr>
          <w:rFonts w:ascii="Cambria" w:hAnsi="Cambria"/>
        </w:rPr>
        <w:t>160 horticulteurs</w:t>
      </w:r>
      <w:r w:rsidR="00975F1B">
        <w:rPr>
          <w:rFonts w:ascii="Cambria" w:hAnsi="Cambria"/>
        </w:rPr>
        <w:t xml:space="preserve">, 20 artisans, 8 commerçants de matériel agricole, </w:t>
      </w:r>
      <w:r w:rsidRPr="00B93726">
        <w:rPr>
          <w:rFonts w:ascii="Cambria" w:hAnsi="Cambria"/>
        </w:rPr>
        <w:t xml:space="preserve">4 pêcheurs </w:t>
      </w:r>
      <w:proofErr w:type="spellStart"/>
      <w:r w:rsidRPr="00B93726">
        <w:rPr>
          <w:rFonts w:ascii="Cambria" w:hAnsi="Cambria"/>
        </w:rPr>
        <w:t>lagonaires</w:t>
      </w:r>
      <w:proofErr w:type="spellEnd"/>
      <w:r w:rsidR="00975F1B">
        <w:rPr>
          <w:rFonts w:ascii="Cambria" w:hAnsi="Cambria"/>
        </w:rPr>
        <w:t xml:space="preserve"> et aussi </w:t>
      </w:r>
      <w:r w:rsidRPr="00B93726">
        <w:rPr>
          <w:rFonts w:ascii="Cambria" w:hAnsi="Cambria"/>
        </w:rPr>
        <w:t>11 espaces de restauration</w:t>
      </w:r>
      <w:r w:rsidR="00975F1B">
        <w:rPr>
          <w:rFonts w:ascii="Cambria" w:hAnsi="Cambria"/>
        </w:rPr>
        <w:t xml:space="preserve">. </w:t>
      </w:r>
      <w:r w:rsidRPr="00B93726">
        <w:rPr>
          <w:rFonts w:ascii="Cambria" w:hAnsi="Cambria"/>
        </w:rPr>
        <w:t xml:space="preserve">Le CJA </w:t>
      </w:r>
      <w:r w:rsidR="00975F1B">
        <w:rPr>
          <w:rFonts w:ascii="Cambria" w:hAnsi="Cambria"/>
        </w:rPr>
        <w:t xml:space="preserve">(Centre pour jeunes adolescents) </w:t>
      </w:r>
      <w:r w:rsidRPr="00B93726">
        <w:rPr>
          <w:rFonts w:ascii="Cambria" w:hAnsi="Cambria"/>
        </w:rPr>
        <w:t xml:space="preserve">fera aussi partie des invités phare, avec une représentation </w:t>
      </w:r>
      <w:r w:rsidR="00975F1B">
        <w:rPr>
          <w:rFonts w:ascii="Cambria" w:hAnsi="Cambria"/>
        </w:rPr>
        <w:t xml:space="preserve">complète des </w:t>
      </w:r>
      <w:r w:rsidRPr="00B93726">
        <w:rPr>
          <w:rFonts w:ascii="Cambria" w:hAnsi="Cambria"/>
        </w:rPr>
        <w:t xml:space="preserve">filières </w:t>
      </w:r>
      <w:r w:rsidR="00975F1B">
        <w:rPr>
          <w:rFonts w:ascii="Cambria" w:hAnsi="Cambria"/>
        </w:rPr>
        <w:t xml:space="preserve">qu’il propose. </w:t>
      </w:r>
      <w:r w:rsidRPr="00B93726">
        <w:rPr>
          <w:rFonts w:ascii="Cambria" w:hAnsi="Cambria"/>
        </w:rPr>
        <w:t xml:space="preserve">Le Mouvement des Maisons Familiales Rurales sera aussi représenté avec une innovation consistant à mettre à la vente des produits agricoles issus de leurs exploitations. </w:t>
      </w:r>
    </w:p>
    <w:p w14:paraId="278CA421" w14:textId="77777777" w:rsidR="00B93726" w:rsidRPr="00B93726" w:rsidRDefault="00B93726" w:rsidP="00B93726">
      <w:pPr>
        <w:jc w:val="both"/>
        <w:rPr>
          <w:rFonts w:ascii="Cambria" w:hAnsi="Cambria"/>
        </w:rPr>
      </w:pPr>
    </w:p>
    <w:p w14:paraId="35BC70EA" w14:textId="4D731C5F" w:rsidR="00B93726" w:rsidRPr="00B93726" w:rsidRDefault="00B93726" w:rsidP="00975F1B">
      <w:pPr>
        <w:jc w:val="both"/>
        <w:rPr>
          <w:rFonts w:ascii="Cambria" w:hAnsi="Cambria"/>
        </w:rPr>
      </w:pPr>
      <w:r w:rsidRPr="00B93726">
        <w:rPr>
          <w:rFonts w:ascii="Cambria" w:hAnsi="Cambria"/>
        </w:rPr>
        <w:lastRenderedPageBreak/>
        <w:t xml:space="preserve">Pour l’accueil de près de 290 exposants, l’organisation prévoit l’installation de 30 chapiteaux sur l’espace de </w:t>
      </w:r>
      <w:proofErr w:type="spellStart"/>
      <w:r w:rsidRPr="00B93726">
        <w:rPr>
          <w:rFonts w:ascii="Cambria" w:hAnsi="Cambria"/>
        </w:rPr>
        <w:t>Vaitupa</w:t>
      </w:r>
      <w:proofErr w:type="spellEnd"/>
      <w:r w:rsidR="00975F1B">
        <w:rPr>
          <w:rFonts w:ascii="Cambria" w:hAnsi="Cambria"/>
        </w:rPr>
        <w:t>, lequel</w:t>
      </w:r>
      <w:r w:rsidRPr="00B93726">
        <w:rPr>
          <w:rFonts w:ascii="Cambria" w:hAnsi="Cambria"/>
        </w:rPr>
        <w:t xml:space="preserve"> s’étend sur plus de 4 hectares.</w:t>
      </w:r>
      <w:r w:rsidR="00975F1B">
        <w:rPr>
          <w:rFonts w:ascii="Cambria" w:hAnsi="Cambria"/>
        </w:rPr>
        <w:t xml:space="preserve"> </w:t>
      </w:r>
      <w:r w:rsidRPr="00B93726">
        <w:rPr>
          <w:rFonts w:ascii="Cambria" w:hAnsi="Cambria"/>
        </w:rPr>
        <w:t xml:space="preserve">La Foire sera ouverte de 9h à 18h tous les jours du 29 </w:t>
      </w:r>
      <w:r w:rsidR="005F1772">
        <w:rPr>
          <w:rFonts w:ascii="Cambria" w:hAnsi="Cambria"/>
        </w:rPr>
        <w:t>s</w:t>
      </w:r>
      <w:r w:rsidRPr="00B93726">
        <w:rPr>
          <w:rFonts w:ascii="Cambria" w:hAnsi="Cambria"/>
        </w:rPr>
        <w:t xml:space="preserve">eptembre au 9 </w:t>
      </w:r>
      <w:r w:rsidR="005F1772">
        <w:rPr>
          <w:rFonts w:ascii="Cambria" w:hAnsi="Cambria"/>
        </w:rPr>
        <w:t>o</w:t>
      </w:r>
      <w:r w:rsidRPr="00B93726">
        <w:rPr>
          <w:rFonts w:ascii="Cambria" w:hAnsi="Cambria"/>
        </w:rPr>
        <w:t>ctobre.</w:t>
      </w:r>
      <w:r w:rsidR="00975F1B">
        <w:rPr>
          <w:rFonts w:ascii="Cambria" w:hAnsi="Cambria"/>
        </w:rPr>
        <w:t xml:space="preserve"> Parmi les nouveautés cette année, u</w:t>
      </w:r>
      <w:r w:rsidRPr="00B93726">
        <w:rPr>
          <w:rFonts w:ascii="Cambria" w:hAnsi="Cambria"/>
        </w:rPr>
        <w:t>ne chasse aux trésors à la découverte du secteur primaire</w:t>
      </w:r>
      <w:r w:rsidR="00975F1B">
        <w:rPr>
          <w:rFonts w:ascii="Cambria" w:hAnsi="Cambria"/>
        </w:rPr>
        <w:t>, u</w:t>
      </w:r>
      <w:r w:rsidRPr="00B93726">
        <w:rPr>
          <w:rFonts w:ascii="Cambria" w:hAnsi="Cambria"/>
        </w:rPr>
        <w:t xml:space="preserve">n espace dédié </w:t>
      </w:r>
      <w:r w:rsidR="00975F1B">
        <w:rPr>
          <w:rFonts w:ascii="Cambria" w:hAnsi="Cambria"/>
        </w:rPr>
        <w:t>aux</w:t>
      </w:r>
      <w:r w:rsidRPr="00B93726">
        <w:rPr>
          <w:rFonts w:ascii="Cambria" w:hAnsi="Cambria"/>
        </w:rPr>
        <w:t xml:space="preserve"> photos</w:t>
      </w:r>
      <w:r w:rsidR="00975F1B">
        <w:rPr>
          <w:rFonts w:ascii="Cambria" w:hAnsi="Cambria"/>
        </w:rPr>
        <w:t xml:space="preserve">, le retour du bétail ou encore un </w:t>
      </w:r>
      <w:r w:rsidRPr="00B93726">
        <w:rPr>
          <w:rFonts w:ascii="Cambria" w:hAnsi="Cambria"/>
        </w:rPr>
        <w:t xml:space="preserve">petit village construit à partir de matériaux de construction de récupération et </w:t>
      </w:r>
      <w:r w:rsidR="005F1772">
        <w:rPr>
          <w:rFonts w:ascii="Cambria" w:hAnsi="Cambria"/>
        </w:rPr>
        <w:t xml:space="preserve">de </w:t>
      </w:r>
      <w:r w:rsidRPr="00B93726">
        <w:rPr>
          <w:rFonts w:ascii="Cambria" w:hAnsi="Cambria"/>
        </w:rPr>
        <w:t>durables</w:t>
      </w:r>
      <w:r w:rsidR="005F1772">
        <w:rPr>
          <w:rFonts w:ascii="Cambria" w:hAnsi="Cambria"/>
        </w:rPr>
        <w:t>.</w:t>
      </w:r>
    </w:p>
    <w:p w14:paraId="3BF4D536" w14:textId="77777777" w:rsidR="00B93726" w:rsidRDefault="00B93726" w:rsidP="0087175A">
      <w:pPr>
        <w:rPr>
          <w:rFonts w:ascii="Cambria" w:hAnsi="Cambria"/>
        </w:rPr>
      </w:pPr>
    </w:p>
    <w:p w14:paraId="6F89ED47" w14:textId="4ECC1058" w:rsidR="00A97B18" w:rsidRPr="00A97B18" w:rsidRDefault="00A97B18" w:rsidP="00A97B18">
      <w:pPr>
        <w:pStyle w:val="-LettrehDestinataireGEDA0"/>
        <w:jc w:val="both"/>
        <w:rPr>
          <w:rFonts w:ascii="Cambria" w:hAnsi="Cambria"/>
        </w:rPr>
      </w:pPr>
      <w:r w:rsidRPr="00A97B18">
        <w:rPr>
          <w:rFonts w:ascii="Cambria" w:hAnsi="Cambria"/>
        </w:rPr>
        <w:t>Soutien au développement de l’agriculture</w:t>
      </w:r>
    </w:p>
    <w:p w14:paraId="1960B50E" w14:textId="77777777" w:rsidR="00A97B18" w:rsidRPr="00A97B18" w:rsidRDefault="00A97B18" w:rsidP="00A97B18">
      <w:pPr>
        <w:pStyle w:val="-LettrehDestinataireadGEDA"/>
        <w:rPr>
          <w:rFonts w:ascii="Cambria" w:hAnsi="Cambria"/>
        </w:rPr>
      </w:pPr>
    </w:p>
    <w:p w14:paraId="339258FB" w14:textId="2669BF5A" w:rsidR="00A97B18" w:rsidRPr="00A97B18" w:rsidRDefault="00A97B18" w:rsidP="00A97B18">
      <w:pPr>
        <w:pStyle w:val="-LettrehDestinataireadGEDA"/>
        <w:jc w:val="both"/>
        <w:rPr>
          <w:rFonts w:ascii="Cambria" w:hAnsi="Cambria"/>
          <w:b w:val="0"/>
        </w:rPr>
      </w:pPr>
      <w:r w:rsidRPr="00A97B18">
        <w:rPr>
          <w:rFonts w:ascii="Cambria" w:hAnsi="Cambria"/>
          <w:b w:val="0"/>
        </w:rPr>
        <w:t>Le Président de la Polynésie française a présenté au Conseil des ministres le projet d’avenant 2016 à la convention du 7 mars 2012 relative au concours financier de l’Etat au développement de l’agriculture en Polynésie française.</w:t>
      </w:r>
    </w:p>
    <w:p w14:paraId="106C56FA" w14:textId="77777777" w:rsidR="00A97B18" w:rsidRPr="00A97B18" w:rsidRDefault="00A97B18" w:rsidP="00A97B18">
      <w:pPr>
        <w:pStyle w:val="-LettrehDestinataireadGEDA"/>
        <w:jc w:val="both"/>
        <w:rPr>
          <w:rFonts w:ascii="Cambria" w:hAnsi="Cambria"/>
          <w:b w:val="0"/>
        </w:rPr>
      </w:pPr>
    </w:p>
    <w:p w14:paraId="5A0386DF" w14:textId="36377735" w:rsidR="00A97B18" w:rsidRPr="00A97B18" w:rsidRDefault="00A97B18" w:rsidP="00A97B18">
      <w:pPr>
        <w:pStyle w:val="-LettrehDestinataireadGEDA"/>
        <w:jc w:val="both"/>
        <w:rPr>
          <w:rFonts w:ascii="Cambria" w:hAnsi="Cambria"/>
          <w:b w:val="0"/>
        </w:rPr>
      </w:pPr>
      <w:r w:rsidRPr="00A97B18">
        <w:rPr>
          <w:rFonts w:ascii="Cambria" w:hAnsi="Cambria"/>
          <w:b w:val="0"/>
        </w:rPr>
        <w:t>Dans le cadre de cette convention, la Polynésie française reçoit chaque année une dotation maximum de 500 000 euros, soit 59 665 871 Fcfp, mobilisable pour le recrutement à durée déterminée de personnel affecté au service du développement rural</w:t>
      </w:r>
      <w:r>
        <w:rPr>
          <w:rFonts w:ascii="Cambria" w:hAnsi="Cambria"/>
          <w:b w:val="0"/>
        </w:rPr>
        <w:t xml:space="preserve"> (SDR)</w:t>
      </w:r>
      <w:r w:rsidRPr="00A97B18">
        <w:rPr>
          <w:rFonts w:ascii="Cambria" w:hAnsi="Cambria"/>
          <w:b w:val="0"/>
        </w:rPr>
        <w:t>. L’avenant financier prévoit que la participation de l’Etat s’élève à 475 000 euros, soit 56 682 577 Fcfp pour l’exercice 2016 et sera versée, dès la signature de l’avenant. Conformément aux dispositions du statut de la Polynésie française, le projet d’avenant sera soumis, avant sa signature, à l’approbation par l’Assemblée de la Polynésie française.</w:t>
      </w:r>
    </w:p>
    <w:p w14:paraId="784AFAF1" w14:textId="77777777" w:rsidR="00A97B18" w:rsidRDefault="00A97B18" w:rsidP="0087175A">
      <w:pPr>
        <w:rPr>
          <w:rFonts w:ascii="Cambria" w:hAnsi="Cambria"/>
        </w:rPr>
      </w:pPr>
    </w:p>
    <w:p w14:paraId="3AA456F4" w14:textId="77777777" w:rsidR="00B93726" w:rsidRDefault="00B93726" w:rsidP="0087175A">
      <w:pPr>
        <w:rPr>
          <w:rFonts w:ascii="Cambria" w:hAnsi="Cambria"/>
        </w:rPr>
      </w:pPr>
    </w:p>
    <w:p w14:paraId="1D531DAD" w14:textId="14C55F41" w:rsidR="00276450" w:rsidRPr="00AC121E" w:rsidRDefault="00276450" w:rsidP="00276450">
      <w:pPr>
        <w:pStyle w:val="-LettreTexteGEDA"/>
        <w:ind w:firstLine="0"/>
        <w:rPr>
          <w:rFonts w:ascii="Cambria" w:hAnsi="Cambria"/>
          <w:b/>
        </w:rPr>
      </w:pPr>
      <w:r w:rsidRPr="00AC121E">
        <w:rPr>
          <w:rFonts w:ascii="Cambria" w:hAnsi="Cambria"/>
          <w:b/>
        </w:rPr>
        <w:t>Pr</w:t>
      </w:r>
      <w:r>
        <w:rPr>
          <w:rFonts w:ascii="Cambria" w:hAnsi="Cambria"/>
          <w:b/>
        </w:rPr>
        <w:t xml:space="preserve">ojet de collectif n°4 pour le </w:t>
      </w:r>
      <w:r w:rsidRPr="00AC121E">
        <w:rPr>
          <w:rFonts w:ascii="Cambria" w:hAnsi="Cambria"/>
          <w:b/>
        </w:rPr>
        <w:t>Fonds pour l’emploi et la lutte contre la pauvreté</w:t>
      </w:r>
    </w:p>
    <w:p w14:paraId="18A62F3F" w14:textId="77777777" w:rsidR="00276450" w:rsidRDefault="00276450" w:rsidP="00276450">
      <w:pPr>
        <w:pStyle w:val="-LettreTexteGEDA"/>
        <w:ind w:firstLine="0"/>
        <w:rPr>
          <w:rFonts w:ascii="Cambria" w:hAnsi="Cambria"/>
        </w:rPr>
      </w:pPr>
    </w:p>
    <w:p w14:paraId="3A6F3C9C" w14:textId="77777777" w:rsidR="00276450" w:rsidRPr="00AC121E" w:rsidRDefault="00276450" w:rsidP="00276450">
      <w:pPr>
        <w:pStyle w:val="-LettreTexteGEDA"/>
        <w:ind w:firstLine="0"/>
        <w:rPr>
          <w:rFonts w:ascii="Cambria" w:hAnsi="Cambria"/>
          <w:noProof w:val="0"/>
          <w:szCs w:val="24"/>
        </w:rPr>
      </w:pPr>
      <w:r w:rsidRPr="00AC121E">
        <w:rPr>
          <w:rFonts w:ascii="Cambria" w:hAnsi="Cambria"/>
          <w:noProof w:val="0"/>
          <w:szCs w:val="24"/>
        </w:rPr>
        <w:t xml:space="preserve">Le projet de collectif approuvé par le </w:t>
      </w:r>
      <w:r>
        <w:rPr>
          <w:rFonts w:ascii="Cambria" w:hAnsi="Cambria"/>
          <w:noProof w:val="0"/>
          <w:szCs w:val="24"/>
        </w:rPr>
        <w:t>C</w:t>
      </w:r>
      <w:r w:rsidRPr="00AC121E">
        <w:rPr>
          <w:rFonts w:ascii="Cambria" w:hAnsi="Cambria"/>
          <w:noProof w:val="0"/>
          <w:szCs w:val="24"/>
        </w:rPr>
        <w:t>onseil des ministres</w:t>
      </w:r>
      <w:r>
        <w:rPr>
          <w:rFonts w:ascii="Cambria" w:hAnsi="Cambria"/>
          <w:noProof w:val="0"/>
          <w:szCs w:val="24"/>
        </w:rPr>
        <w:t xml:space="preserve"> </w:t>
      </w:r>
      <w:r w:rsidRPr="00AC121E">
        <w:rPr>
          <w:rFonts w:ascii="Cambria" w:hAnsi="Cambria"/>
          <w:noProof w:val="0"/>
          <w:szCs w:val="24"/>
        </w:rPr>
        <w:t>permet de procéder à deux ajustements au sein du budget du « </w:t>
      </w:r>
      <w:r>
        <w:rPr>
          <w:rFonts w:ascii="Cambria" w:hAnsi="Cambria"/>
          <w:noProof w:val="0"/>
          <w:szCs w:val="24"/>
        </w:rPr>
        <w:t>F</w:t>
      </w:r>
      <w:r w:rsidRPr="00AC121E">
        <w:rPr>
          <w:rFonts w:ascii="Cambria" w:hAnsi="Cambria"/>
          <w:noProof w:val="0"/>
          <w:szCs w:val="24"/>
        </w:rPr>
        <w:t xml:space="preserve">onds pour l’emploi et la lutte contre la pauvreté (FELP) » : </w:t>
      </w:r>
    </w:p>
    <w:p w14:paraId="5874F367" w14:textId="77777777" w:rsidR="00276450" w:rsidRPr="00AC121E" w:rsidRDefault="00276450" w:rsidP="00276450">
      <w:pPr>
        <w:pStyle w:val="-LettreTexteGEDA"/>
        <w:numPr>
          <w:ilvl w:val="0"/>
          <w:numId w:val="44"/>
        </w:numPr>
        <w:textAlignment w:val="baseline"/>
        <w:rPr>
          <w:rFonts w:ascii="Cambria" w:hAnsi="Cambria"/>
          <w:noProof w:val="0"/>
          <w:szCs w:val="24"/>
        </w:rPr>
      </w:pPr>
      <w:r w:rsidRPr="00AC121E">
        <w:rPr>
          <w:rFonts w:ascii="Cambria" w:hAnsi="Cambria"/>
          <w:noProof w:val="0"/>
          <w:szCs w:val="24"/>
        </w:rPr>
        <w:t xml:space="preserve">les crédits </w:t>
      </w:r>
      <w:r w:rsidRPr="00AC121E">
        <w:rPr>
          <w:rFonts w:ascii="Cambria" w:hAnsi="Cambria"/>
          <w:noProof w:val="0"/>
        </w:rPr>
        <w:t xml:space="preserve">dédiés aux aides à l’emploi </w:t>
      </w:r>
      <w:r w:rsidRPr="00AC121E">
        <w:rPr>
          <w:rFonts w:ascii="Cambria" w:hAnsi="Cambria"/>
          <w:noProof w:val="0"/>
          <w:szCs w:val="24"/>
        </w:rPr>
        <w:t xml:space="preserve">sont abondés de 234 millions </w:t>
      </w:r>
      <w:proofErr w:type="spellStart"/>
      <w:r>
        <w:rPr>
          <w:rFonts w:ascii="Cambria" w:hAnsi="Cambria"/>
          <w:noProof w:val="0"/>
          <w:szCs w:val="24"/>
        </w:rPr>
        <w:t>Fcfp</w:t>
      </w:r>
      <w:proofErr w:type="spellEnd"/>
      <w:r>
        <w:rPr>
          <w:rFonts w:ascii="Cambria" w:hAnsi="Cambria"/>
          <w:noProof w:val="0"/>
          <w:szCs w:val="24"/>
        </w:rPr>
        <w:t xml:space="preserve"> </w:t>
      </w:r>
      <w:r w:rsidRPr="00AC121E">
        <w:rPr>
          <w:rFonts w:ascii="Cambria" w:hAnsi="Cambria"/>
          <w:noProof w:val="0"/>
          <w:szCs w:val="24"/>
        </w:rPr>
        <w:t xml:space="preserve">grâce à une reprise du résultat antérieur ; </w:t>
      </w:r>
    </w:p>
    <w:p w14:paraId="19AAA23E" w14:textId="77777777" w:rsidR="00276450" w:rsidRPr="00AC121E" w:rsidRDefault="00276450" w:rsidP="00276450">
      <w:pPr>
        <w:pStyle w:val="-LettreTexteGEDA"/>
        <w:numPr>
          <w:ilvl w:val="0"/>
          <w:numId w:val="44"/>
        </w:numPr>
        <w:textAlignment w:val="baseline"/>
        <w:rPr>
          <w:rFonts w:ascii="Cambria" w:hAnsi="Cambria"/>
          <w:noProof w:val="0"/>
          <w:szCs w:val="24"/>
        </w:rPr>
      </w:pPr>
      <w:r w:rsidRPr="00AC121E">
        <w:rPr>
          <w:rFonts w:ascii="Cambria" w:hAnsi="Cambria"/>
          <w:noProof w:val="0"/>
          <w:szCs w:val="24"/>
        </w:rPr>
        <w:t xml:space="preserve">le versement au régime de solidarité de Polynésie française (RSPF) est augmenté à hauteur des recettes fiscales prévisionnelles du compte, soit une hausse d’environ 1,4 milliard </w:t>
      </w:r>
      <w:proofErr w:type="spellStart"/>
      <w:r>
        <w:rPr>
          <w:rFonts w:ascii="Cambria" w:hAnsi="Cambria"/>
          <w:noProof w:val="0"/>
          <w:szCs w:val="24"/>
        </w:rPr>
        <w:t>Fcfp</w:t>
      </w:r>
      <w:proofErr w:type="spellEnd"/>
      <w:r w:rsidRPr="00AC121E">
        <w:rPr>
          <w:rFonts w:ascii="Cambria" w:hAnsi="Cambria"/>
          <w:noProof w:val="0"/>
          <w:szCs w:val="24"/>
        </w:rPr>
        <w:t xml:space="preserve"> pour l’année 2016, par rapport au budget voté initialement qui s’élève à plus de 25 milliards.</w:t>
      </w:r>
    </w:p>
    <w:p w14:paraId="421EE69C" w14:textId="77777777" w:rsidR="00276450" w:rsidRPr="00AC121E" w:rsidRDefault="00276450" w:rsidP="00276450">
      <w:pPr>
        <w:pStyle w:val="-LettreTexteGEDA"/>
        <w:ind w:firstLine="0"/>
        <w:rPr>
          <w:rFonts w:ascii="Cambria" w:hAnsi="Cambria"/>
          <w:noProof w:val="0"/>
          <w:szCs w:val="24"/>
        </w:rPr>
      </w:pPr>
      <w:r w:rsidRPr="00AC121E">
        <w:rPr>
          <w:rFonts w:ascii="Cambria" w:hAnsi="Cambria"/>
          <w:noProof w:val="0"/>
          <w:szCs w:val="24"/>
        </w:rPr>
        <w:t>Par ailleurs, il a été précisé qu’il est envisagé de proposer aux membres du comité de gestion du RSPF, avec l’accord des commissaires aux comptes, d’aligner les procédures de comptabilisation des recettes et de rattachement avec celles du FELP dès 2016.</w:t>
      </w:r>
      <w:r>
        <w:rPr>
          <w:rFonts w:ascii="Cambria" w:hAnsi="Cambria"/>
          <w:noProof w:val="0"/>
          <w:szCs w:val="24"/>
        </w:rPr>
        <w:t xml:space="preserve"> </w:t>
      </w:r>
      <w:r w:rsidRPr="00AC121E">
        <w:rPr>
          <w:rFonts w:ascii="Cambria" w:hAnsi="Cambria"/>
          <w:noProof w:val="0"/>
          <w:szCs w:val="24"/>
        </w:rPr>
        <w:t>Ainsi, dès 2017, il n’y aura plus d’écarts entre les recettes annuelles et les soldes d’exécution résultant de ces méthodes de comptabilisation différentes.</w:t>
      </w:r>
    </w:p>
    <w:p w14:paraId="295BFF35" w14:textId="77777777" w:rsidR="00AB22D6" w:rsidRDefault="00AB22D6" w:rsidP="00AB22D6">
      <w:pPr>
        <w:pStyle w:val="-LettreTexteGEDA"/>
        <w:ind w:firstLine="0"/>
        <w:rPr>
          <w:rFonts w:ascii="Cambria" w:hAnsi="Cambria"/>
          <w:b/>
          <w:szCs w:val="24"/>
        </w:rPr>
      </w:pPr>
    </w:p>
    <w:p w14:paraId="78C5CDEE" w14:textId="77777777" w:rsidR="00AB22D6" w:rsidRPr="00AB22D6" w:rsidRDefault="00AB22D6" w:rsidP="00AB22D6">
      <w:pPr>
        <w:pStyle w:val="-LettreTexteGEDA"/>
        <w:ind w:firstLine="0"/>
        <w:rPr>
          <w:rFonts w:ascii="Cambria" w:hAnsi="Cambria"/>
          <w:b/>
          <w:noProof w:val="0"/>
          <w:szCs w:val="24"/>
        </w:rPr>
      </w:pPr>
      <w:r w:rsidRPr="00AB22D6">
        <w:rPr>
          <w:rFonts w:ascii="Cambria" w:hAnsi="Cambria"/>
          <w:b/>
          <w:szCs w:val="24"/>
        </w:rPr>
        <w:t>Conférence économique du 10 octobre et forum économique des 11 et 12 octobre</w:t>
      </w:r>
    </w:p>
    <w:p w14:paraId="577A14FA" w14:textId="77777777" w:rsidR="00AB22D6" w:rsidRPr="00AB22D6" w:rsidRDefault="00AB22D6" w:rsidP="00AB22D6">
      <w:pPr>
        <w:jc w:val="both"/>
        <w:rPr>
          <w:rFonts w:ascii="Cambria" w:hAnsi="Cambria"/>
        </w:rPr>
      </w:pPr>
    </w:p>
    <w:p w14:paraId="01839BDB" w14:textId="77777777" w:rsidR="00AB22D6" w:rsidRPr="00AB22D6" w:rsidRDefault="00AB22D6" w:rsidP="00AB22D6">
      <w:pPr>
        <w:pStyle w:val="-LettreTexteGEDA"/>
        <w:ind w:firstLine="0"/>
        <w:rPr>
          <w:rFonts w:ascii="Cambria" w:hAnsi="Cambria"/>
          <w:szCs w:val="24"/>
        </w:rPr>
      </w:pPr>
      <w:r w:rsidRPr="00AB22D6">
        <w:rPr>
          <w:rFonts w:ascii="Cambria" w:hAnsi="Cambria"/>
          <w:szCs w:val="24"/>
        </w:rPr>
        <w:t xml:space="preserve">Deux événements majeurs pour l’économie de notre au Pays seront organisés du 10 au 12 octobre 2016. La conférence économique aura pour objectif de faire un point de </w:t>
      </w:r>
      <w:r w:rsidRPr="00AB22D6">
        <w:rPr>
          <w:rFonts w:ascii="Cambria" w:hAnsi="Cambria"/>
          <w:szCs w:val="24"/>
        </w:rPr>
        <w:lastRenderedPageBreak/>
        <w:t>conjoncture sur l’économie polynésienne, et de présenter l’avancement du plan d’actions économiques du Gouvernement et les grandes orientations du budget 2017 du Pays. Il s’agira également de poursuivre les échanges engagés en mai dernier avec les acteurs de l’économie polynésienne autour d’ateliers thématiques.</w:t>
      </w:r>
    </w:p>
    <w:p w14:paraId="30FEDCA7" w14:textId="77777777" w:rsidR="00AB22D6" w:rsidRPr="00AB22D6" w:rsidRDefault="00AB22D6" w:rsidP="00AB22D6">
      <w:pPr>
        <w:pStyle w:val="-LettreTexteGEDA"/>
        <w:ind w:firstLine="0"/>
        <w:rPr>
          <w:rFonts w:ascii="Cambria" w:hAnsi="Cambria"/>
          <w:szCs w:val="24"/>
        </w:rPr>
      </w:pPr>
      <w:r w:rsidRPr="00AB22D6">
        <w:rPr>
          <w:rFonts w:ascii="Cambria" w:hAnsi="Cambria"/>
          <w:szCs w:val="24"/>
        </w:rPr>
        <w:t>Cette conférence sera suivie par la tenue du premier forum économique de Polynésie française, dont le thème retenu est celui de la refondation de l’économie polynésienne. Le public élargi notamment aux étudiants, aux représentants du monde économique et, de manière plus générale, à tous les citoyens engagés dans les questions associées à l’avenir économique de notre Pays, partagera l’expérience d’intervenants externes et débattra sur les thématiques du numérique, de l’économie bleue et du tourisme notamment.</w:t>
      </w:r>
    </w:p>
    <w:p w14:paraId="3C63C012" w14:textId="77777777" w:rsidR="00AB22D6" w:rsidRPr="00AB22D6" w:rsidRDefault="00AB22D6" w:rsidP="00AB22D6">
      <w:pPr>
        <w:ind w:firstLine="709"/>
        <w:jc w:val="both"/>
        <w:rPr>
          <w:rFonts w:ascii="Cambria" w:hAnsi="Cambria"/>
        </w:rPr>
      </w:pPr>
    </w:p>
    <w:p w14:paraId="59CC49DE" w14:textId="77777777" w:rsidR="00AB22D6" w:rsidRPr="00AB22D6" w:rsidRDefault="00AB22D6" w:rsidP="00AB22D6">
      <w:pPr>
        <w:pStyle w:val="-LettreTexteGEDA"/>
        <w:spacing w:before="0"/>
        <w:ind w:firstLine="0"/>
        <w:jc w:val="center"/>
        <w:rPr>
          <w:rFonts w:ascii="Cambria" w:hAnsi="Cambria"/>
          <w:b/>
          <w:szCs w:val="24"/>
        </w:rPr>
      </w:pPr>
    </w:p>
    <w:p w14:paraId="0D3AAB49" w14:textId="77777777" w:rsidR="00AB22D6" w:rsidRPr="00AB22D6" w:rsidRDefault="00AB22D6" w:rsidP="00AB22D6">
      <w:pPr>
        <w:pStyle w:val="-LettreTexteGEDA"/>
        <w:spacing w:before="0"/>
        <w:ind w:firstLine="0"/>
        <w:rPr>
          <w:rFonts w:ascii="Cambria" w:hAnsi="Cambria"/>
          <w:b/>
          <w:szCs w:val="24"/>
        </w:rPr>
      </w:pPr>
      <w:r w:rsidRPr="00AB22D6">
        <w:rPr>
          <w:rFonts w:ascii="Cambria" w:hAnsi="Cambria"/>
          <w:b/>
          <w:szCs w:val="24"/>
        </w:rPr>
        <w:t>Point d’étape du projet d’exploitation minière de la SAS Avenir Makatea</w:t>
      </w:r>
    </w:p>
    <w:p w14:paraId="1EC9B6A2" w14:textId="77777777" w:rsidR="00AB22D6" w:rsidRPr="00AB22D6" w:rsidRDefault="00AB22D6" w:rsidP="00AB22D6">
      <w:pPr>
        <w:pStyle w:val="-LettreTexteGEDA"/>
        <w:spacing w:before="0"/>
        <w:ind w:firstLine="0"/>
        <w:rPr>
          <w:rFonts w:ascii="Cambria" w:hAnsi="Cambria"/>
          <w:szCs w:val="24"/>
        </w:rPr>
      </w:pPr>
    </w:p>
    <w:p w14:paraId="3B7037A6" w14:textId="77777777" w:rsidR="00AB22D6" w:rsidRPr="00AB22D6" w:rsidRDefault="00AB22D6" w:rsidP="00AB22D6">
      <w:pPr>
        <w:pStyle w:val="-LettreTexteGEDA"/>
        <w:spacing w:before="0"/>
        <w:ind w:firstLine="0"/>
        <w:rPr>
          <w:rFonts w:ascii="Cambria" w:hAnsi="Cambria"/>
          <w:szCs w:val="24"/>
        </w:rPr>
      </w:pPr>
    </w:p>
    <w:p w14:paraId="5B13AA21" w14:textId="77777777" w:rsidR="00AB22D6" w:rsidRPr="00AB22D6" w:rsidRDefault="00AB22D6" w:rsidP="00AB22D6">
      <w:pPr>
        <w:pStyle w:val="-LettreTexteGEDA"/>
        <w:spacing w:before="0"/>
        <w:ind w:firstLine="0"/>
        <w:rPr>
          <w:rFonts w:ascii="Cambria" w:hAnsi="Cambria"/>
          <w:noProof w:val="0"/>
          <w:szCs w:val="24"/>
        </w:rPr>
      </w:pPr>
      <w:r w:rsidRPr="00AB22D6">
        <w:rPr>
          <w:rFonts w:ascii="Cambria" w:hAnsi="Cambria"/>
          <w:noProof w:val="0"/>
          <w:szCs w:val="24"/>
        </w:rPr>
        <w:t>M. Colin Randall, PDG de la Société Avenir Makatea, a déposé auprès de la Direction des ressources marines et minières une demande de concession d’exploitation minière sur l’île de Makatea. Pour le Pays, il est important d’obtenir préalablement une large acception du projet par la population et les propriétaires de l’île. L’étude économique du projet devra confirmer les retombées annoncées. L’étude d’impact sur l’environnement sera examinée de près et devra présenter toutes les mesures qui seront mises en œuvre pour préserver l’environnement, les espèces animales et végétales ainsi que les opérations de réhabilitation des terres.</w:t>
      </w:r>
    </w:p>
    <w:p w14:paraId="1C729120" w14:textId="77777777" w:rsidR="00AB22D6" w:rsidRPr="00AB22D6" w:rsidRDefault="00AB22D6" w:rsidP="00AB22D6">
      <w:pPr>
        <w:pStyle w:val="-LettreTexteGEDA"/>
        <w:spacing w:before="0"/>
        <w:ind w:firstLine="0"/>
        <w:rPr>
          <w:rFonts w:ascii="Cambria" w:hAnsi="Cambria"/>
          <w:szCs w:val="24"/>
        </w:rPr>
      </w:pPr>
    </w:p>
    <w:p w14:paraId="723649FF" w14:textId="77777777" w:rsidR="00AB22D6" w:rsidRPr="00AB22D6" w:rsidRDefault="00AB22D6" w:rsidP="00AB22D6">
      <w:pPr>
        <w:pStyle w:val="-LettreTexteGEDA"/>
        <w:spacing w:before="0"/>
        <w:ind w:firstLine="0"/>
        <w:rPr>
          <w:rFonts w:ascii="Cambria" w:hAnsi="Cambria"/>
          <w:szCs w:val="24"/>
        </w:rPr>
      </w:pPr>
    </w:p>
    <w:p w14:paraId="27C19F85" w14:textId="77777777" w:rsidR="00AB22D6" w:rsidRPr="00AB22D6" w:rsidRDefault="00AB22D6" w:rsidP="00AB22D6">
      <w:pPr>
        <w:pStyle w:val="-LettreTexteGEDA"/>
        <w:ind w:firstLine="0"/>
        <w:rPr>
          <w:rFonts w:ascii="Cambria" w:hAnsi="Cambria"/>
          <w:b/>
          <w:szCs w:val="24"/>
        </w:rPr>
      </w:pPr>
      <w:r w:rsidRPr="00AB22D6">
        <w:rPr>
          <w:rFonts w:ascii="Cambria" w:hAnsi="Cambria"/>
          <w:b/>
          <w:noProof w:val="0"/>
          <w:szCs w:val="24"/>
        </w:rPr>
        <w:t>Soutien au secteur de la pêche</w:t>
      </w:r>
    </w:p>
    <w:p w14:paraId="4A1169BD" w14:textId="77777777" w:rsidR="00AB22D6" w:rsidRPr="00AB22D6" w:rsidRDefault="00AB22D6" w:rsidP="00AB22D6">
      <w:pPr>
        <w:pStyle w:val="-LettreTexteGEDA"/>
        <w:spacing w:before="0"/>
        <w:ind w:firstLine="0"/>
        <w:rPr>
          <w:rFonts w:ascii="Cambria" w:hAnsi="Cambria"/>
          <w:szCs w:val="24"/>
        </w:rPr>
      </w:pPr>
    </w:p>
    <w:p w14:paraId="191248E3" w14:textId="77777777" w:rsidR="00AB22D6" w:rsidRPr="00AB22D6" w:rsidRDefault="00AB22D6" w:rsidP="00AB22D6">
      <w:pPr>
        <w:pStyle w:val="-LettreTexteGEDA"/>
        <w:spacing w:before="0"/>
        <w:ind w:firstLine="0"/>
        <w:rPr>
          <w:rFonts w:ascii="Cambria" w:hAnsi="Cambria"/>
          <w:color w:val="000000"/>
          <w:szCs w:val="24"/>
        </w:rPr>
      </w:pPr>
      <w:r w:rsidRPr="00AB22D6">
        <w:rPr>
          <w:rFonts w:ascii="Cambria" w:hAnsi="Cambria"/>
          <w:noProof w:val="0"/>
          <w:color w:val="000000"/>
          <w:szCs w:val="24"/>
        </w:rPr>
        <w:t xml:space="preserve">Un dispositif d’aide et de soutien à la pêche (DASP) prévoit un accompagnement, au bénéfice des mareyeurs, sur le fret </w:t>
      </w:r>
      <w:r w:rsidRPr="00AB22D6">
        <w:rPr>
          <w:rFonts w:ascii="Cambria" w:hAnsi="Cambria"/>
          <w:color w:val="000000"/>
          <w:szCs w:val="24"/>
        </w:rPr>
        <w:t>aérien, pour encourager l’exportation des produits bruts ou transformés de la pêche hauturière, vers les Etats-Unis ou l’Europe. Par ailleurs, les détenteurs d’une licence de pêche professionnelle bénéficient d’une réduction fixée à 3 Fcfp par kilogramme, sur la redevance de fourniture de glace auprès de la SEML Port de Pêche de Papeete.</w:t>
      </w:r>
    </w:p>
    <w:p w14:paraId="6D82DC0B" w14:textId="77777777" w:rsidR="00AB22D6" w:rsidRPr="00AB22D6" w:rsidRDefault="00AB22D6" w:rsidP="00AB22D6">
      <w:pPr>
        <w:pStyle w:val="-LettreTexteGEDA"/>
        <w:spacing w:before="0"/>
        <w:rPr>
          <w:rFonts w:ascii="Cambria" w:hAnsi="Cambria"/>
          <w:color w:val="000000"/>
          <w:szCs w:val="24"/>
        </w:rPr>
      </w:pPr>
    </w:p>
    <w:p w14:paraId="504078F2" w14:textId="627FAB37" w:rsidR="00AB22D6" w:rsidRPr="00AB22D6" w:rsidRDefault="00AB22D6" w:rsidP="00AB22D6">
      <w:pPr>
        <w:pStyle w:val="-LettreTexteGEDA"/>
        <w:spacing w:before="0"/>
        <w:ind w:firstLine="0"/>
        <w:rPr>
          <w:rFonts w:ascii="Cambria" w:hAnsi="Cambria"/>
          <w:color w:val="000000"/>
          <w:szCs w:val="24"/>
        </w:rPr>
      </w:pPr>
      <w:r w:rsidRPr="00AB22D6">
        <w:rPr>
          <w:rFonts w:ascii="Cambria" w:hAnsi="Cambria"/>
          <w:color w:val="000000"/>
          <w:szCs w:val="24"/>
        </w:rPr>
        <w:t xml:space="preserve">Le Conseil des ministres a octroyé une aide globale d’un montant de 72 715 441 Fcfp. </w:t>
      </w:r>
      <w:r w:rsidRPr="00AB22D6">
        <w:rPr>
          <w:rFonts w:ascii="Cambria" w:hAnsi="Cambria"/>
          <w:szCs w:val="24"/>
        </w:rPr>
        <w:t>Le montant globale des aides attribué par le Pays pour l’année 2015 au titre du DASP s’élève à 240 127 081 Fcfp.</w:t>
      </w:r>
      <w:r w:rsidRPr="00AB22D6">
        <w:rPr>
          <w:rFonts w:ascii="Cambria" w:hAnsi="Cambria"/>
          <w:color w:val="000000"/>
          <w:szCs w:val="24"/>
        </w:rPr>
        <w:t xml:space="preserve"> </w:t>
      </w:r>
      <w:r w:rsidRPr="00AB22D6">
        <w:rPr>
          <w:rFonts w:ascii="Cambria" w:hAnsi="Cambria"/>
          <w:szCs w:val="24"/>
        </w:rPr>
        <w:t>Les demandes d’aide pour l’année 2016 sont en cours d’instruction et seront soumises prochainement à l’avis de l’Assemblée de la Polynésie française puis à l’examen du Conseil des ministres.</w:t>
      </w:r>
    </w:p>
    <w:p w14:paraId="3A9171C1" w14:textId="77777777" w:rsidR="00AB22D6" w:rsidRDefault="00AB22D6" w:rsidP="0087175A">
      <w:pPr>
        <w:rPr>
          <w:rFonts w:ascii="Cambria" w:hAnsi="Cambria"/>
        </w:rPr>
      </w:pPr>
    </w:p>
    <w:p w14:paraId="495A4E79" w14:textId="77777777" w:rsidR="00AB22D6" w:rsidRDefault="00AB22D6" w:rsidP="0087175A">
      <w:pPr>
        <w:rPr>
          <w:rFonts w:ascii="Cambria" w:hAnsi="Cambria"/>
        </w:rPr>
      </w:pPr>
    </w:p>
    <w:p w14:paraId="288156F8" w14:textId="77777777" w:rsidR="00AB22D6" w:rsidRPr="0087175A" w:rsidRDefault="00AB22D6" w:rsidP="0087175A">
      <w:pPr>
        <w:rPr>
          <w:rFonts w:ascii="Cambria" w:hAnsi="Cambria"/>
        </w:rPr>
      </w:pPr>
    </w:p>
    <w:p w14:paraId="61CF63DE" w14:textId="77777777" w:rsidR="00276450" w:rsidRPr="00566958" w:rsidRDefault="00276450" w:rsidP="00276450">
      <w:pPr>
        <w:pStyle w:val="-LettreTexteGEDA"/>
        <w:spacing w:before="0"/>
        <w:ind w:firstLine="0"/>
        <w:rPr>
          <w:rFonts w:ascii="Cambria" w:hAnsi="Cambria"/>
        </w:rPr>
      </w:pPr>
      <w:r w:rsidRPr="00566958">
        <w:rPr>
          <w:rFonts w:ascii="Cambria" w:hAnsi="Cambria"/>
          <w:b/>
        </w:rPr>
        <w:t>Maintien du prix des hydrocarbures au 1</w:t>
      </w:r>
      <w:r w:rsidRPr="00566958">
        <w:rPr>
          <w:rFonts w:ascii="Cambria" w:hAnsi="Cambria"/>
          <w:b/>
          <w:vertAlign w:val="superscript"/>
        </w:rPr>
        <w:t>er</w:t>
      </w:r>
      <w:r w:rsidRPr="00566958">
        <w:rPr>
          <w:rFonts w:ascii="Cambria" w:hAnsi="Cambria"/>
          <w:b/>
        </w:rPr>
        <w:t xml:space="preserve"> octobre</w:t>
      </w:r>
    </w:p>
    <w:p w14:paraId="6C371A48" w14:textId="77777777" w:rsidR="00276450" w:rsidRPr="00566958" w:rsidRDefault="00276450" w:rsidP="00276450">
      <w:pPr>
        <w:pStyle w:val="-LettreTexteGEDA"/>
        <w:spacing w:before="0"/>
        <w:ind w:firstLine="0"/>
        <w:rPr>
          <w:rFonts w:ascii="Cambria" w:hAnsi="Cambria"/>
        </w:rPr>
      </w:pPr>
    </w:p>
    <w:p w14:paraId="18F83CD0" w14:textId="77777777" w:rsidR="00276450" w:rsidRPr="00566958" w:rsidRDefault="00276450" w:rsidP="00276450">
      <w:pPr>
        <w:pStyle w:val="-LettreTexteGEDA"/>
        <w:ind w:firstLine="0"/>
        <w:rPr>
          <w:rFonts w:ascii="Cambria" w:hAnsi="Cambria"/>
          <w:lang w:eastAsia="en-US"/>
        </w:rPr>
      </w:pPr>
      <w:r w:rsidRPr="00566958">
        <w:rPr>
          <w:rFonts w:ascii="Cambria" w:hAnsi="Cambria"/>
          <w:lang w:eastAsia="en-US"/>
        </w:rPr>
        <w:t xml:space="preserve">Aux dates de chargement des produits hydrocarbures liquides, les prix CAF exprimés en Fcfp affichent des variations constrastées par rapport aux chargements précédents sous l’effet conjugué de l’évolution des cotations sur le marché de Singapour et la faible </w:t>
      </w:r>
      <w:r w:rsidRPr="00566958">
        <w:rPr>
          <w:rFonts w:ascii="Cambria" w:hAnsi="Cambria"/>
          <w:lang w:eastAsia="en-US"/>
        </w:rPr>
        <w:lastRenderedPageBreak/>
        <w:t xml:space="preserve">dépréciation de la devise américaine (- 0,95 %). Ainsi, le pétrole et le gazole baissent de 2 % tandis que l’essence sans plomb et le fuel EDT augmentent de 2 %. </w:t>
      </w:r>
      <w:r w:rsidRPr="00566958">
        <w:rPr>
          <w:rFonts w:ascii="Cambria" w:hAnsi="Cambria"/>
        </w:rPr>
        <w:t>En dépit de la tendance haussière, le Conseil des ministres a décidé de maintenir les prix des hydrocarbures pour le mois d’octobre.</w:t>
      </w:r>
    </w:p>
    <w:p w14:paraId="1F993853" w14:textId="77777777" w:rsidR="00276450" w:rsidRDefault="00276450" w:rsidP="00276450">
      <w:pPr>
        <w:pStyle w:val="-LettreTexteGEDA"/>
        <w:spacing w:before="0"/>
        <w:ind w:firstLine="0"/>
        <w:rPr>
          <w:rFonts w:ascii="Cambria" w:hAnsi="Cambria"/>
          <w:szCs w:val="24"/>
        </w:rPr>
      </w:pPr>
    </w:p>
    <w:p w14:paraId="54129481" w14:textId="77777777" w:rsidR="00276450" w:rsidRDefault="00276450" w:rsidP="00276450">
      <w:pPr>
        <w:pStyle w:val="-LettreTexteGEDA"/>
        <w:spacing w:before="0"/>
        <w:ind w:firstLine="0"/>
        <w:rPr>
          <w:rFonts w:ascii="Cambria" w:hAnsi="Cambria"/>
          <w:szCs w:val="24"/>
        </w:rPr>
      </w:pPr>
    </w:p>
    <w:p w14:paraId="67D7F639" w14:textId="77777777" w:rsidR="00276450" w:rsidRPr="00566958" w:rsidRDefault="00276450" w:rsidP="00276450">
      <w:pPr>
        <w:pStyle w:val="-LettreTexteGEDA"/>
        <w:spacing w:before="0"/>
        <w:ind w:firstLine="0"/>
        <w:rPr>
          <w:rFonts w:ascii="Cambria" w:hAnsi="Cambria"/>
          <w:szCs w:val="24"/>
        </w:rPr>
      </w:pPr>
      <w:r w:rsidRPr="00566958">
        <w:rPr>
          <w:rFonts w:ascii="Cambria" w:hAnsi="Cambria"/>
          <w:b/>
        </w:rPr>
        <w:t>Candidats retenus pour la formation de technicien aquacole à l’Université de l’Océan de Shanghai</w:t>
      </w:r>
    </w:p>
    <w:p w14:paraId="630DCEFB" w14:textId="77777777" w:rsidR="00276450" w:rsidRPr="00566958" w:rsidRDefault="00276450" w:rsidP="00276450">
      <w:pPr>
        <w:jc w:val="both"/>
        <w:rPr>
          <w:rFonts w:ascii="Cambria" w:eastAsia="Arial Unicode MS" w:hAnsi="Cambria"/>
        </w:rPr>
      </w:pPr>
    </w:p>
    <w:p w14:paraId="23CA7111" w14:textId="77777777" w:rsidR="00276450" w:rsidRPr="00566958" w:rsidRDefault="00276450" w:rsidP="00276450">
      <w:pPr>
        <w:jc w:val="both"/>
        <w:rPr>
          <w:rFonts w:ascii="Cambria" w:hAnsi="Cambria"/>
        </w:rPr>
      </w:pPr>
      <w:r w:rsidRPr="00566958">
        <w:rPr>
          <w:rFonts w:ascii="Cambria" w:eastAsia="Arial Unicode MS" w:hAnsi="Cambria"/>
        </w:rPr>
        <w:t xml:space="preserve">Le Conseil des ministres a pris acte de la liste des 10 lauréats </w:t>
      </w:r>
      <w:r w:rsidRPr="00566958">
        <w:rPr>
          <w:rFonts w:ascii="Cambria" w:hAnsi="Cambria"/>
        </w:rPr>
        <w:t xml:space="preserve">pour la formation de technicien aquacole à l’Université de l’Océan de Shanghai. </w:t>
      </w:r>
      <w:r w:rsidRPr="00566958">
        <w:rPr>
          <w:rFonts w:ascii="Cambria" w:hAnsi="Cambria"/>
          <w:szCs w:val="21"/>
        </w:rPr>
        <w:t xml:space="preserve">Le jury, composé des représentants du Ministère de la relance économique et de l’économie bleue, du ministère du Travail, du maire de </w:t>
      </w:r>
      <w:proofErr w:type="spellStart"/>
      <w:r w:rsidRPr="00566958">
        <w:rPr>
          <w:rFonts w:ascii="Cambria" w:hAnsi="Cambria"/>
          <w:szCs w:val="21"/>
        </w:rPr>
        <w:t>Hao</w:t>
      </w:r>
      <w:proofErr w:type="spellEnd"/>
      <w:r w:rsidRPr="00566958">
        <w:rPr>
          <w:rFonts w:ascii="Cambria" w:hAnsi="Cambria"/>
          <w:szCs w:val="21"/>
        </w:rPr>
        <w:t xml:space="preserve"> et d’un interprète en langue anglaise du service de l’interprétariat du Pays, s’est réuni le 23 août dernier et a sélectionné 10 candidats qui ont tous confirmé leur souhait de participer à cette formation. </w:t>
      </w:r>
    </w:p>
    <w:p w14:paraId="286052A6" w14:textId="77777777" w:rsidR="00276450" w:rsidRPr="00566958" w:rsidRDefault="00276450" w:rsidP="00276450">
      <w:pPr>
        <w:jc w:val="both"/>
        <w:rPr>
          <w:rFonts w:ascii="Cambria" w:hAnsi="Cambria"/>
        </w:rPr>
      </w:pPr>
    </w:p>
    <w:p w14:paraId="124F69FF" w14:textId="77777777" w:rsidR="00276450" w:rsidRPr="00566958" w:rsidRDefault="00276450" w:rsidP="00276450">
      <w:pPr>
        <w:ind w:right="-28"/>
        <w:jc w:val="both"/>
        <w:rPr>
          <w:rFonts w:ascii="Cambria" w:hAnsi="Cambria"/>
        </w:rPr>
      </w:pPr>
      <w:r w:rsidRPr="00566958">
        <w:rPr>
          <w:rFonts w:ascii="Cambria" w:hAnsi="Cambria"/>
        </w:rPr>
        <w:t xml:space="preserve">Celle-ci se déroulera en République Populaire de Chine, sur une période de 7 mois. Les futurs cadres polynésiens de la ferme aquacole de </w:t>
      </w:r>
      <w:proofErr w:type="spellStart"/>
      <w:r w:rsidRPr="00566958">
        <w:rPr>
          <w:rFonts w:ascii="Cambria" w:hAnsi="Cambria"/>
        </w:rPr>
        <w:t>Hao</w:t>
      </w:r>
      <w:proofErr w:type="spellEnd"/>
      <w:r w:rsidRPr="00566958">
        <w:rPr>
          <w:rFonts w:ascii="Cambria" w:hAnsi="Cambria"/>
        </w:rPr>
        <w:t xml:space="preserve"> suivront un enseignement théorique et en laboratoire à l’Université de l’Océan de Shanghai, puis effectueront un stage pratique en entreprise pour l'élevage des mérous. Les étudiants, accompagnés par le ministre de l’Economie bleue s’envoleront pour Shanghai le vendredi 23 septembre.</w:t>
      </w:r>
    </w:p>
    <w:p w14:paraId="0BA21E40" w14:textId="77777777" w:rsidR="00276450" w:rsidRPr="00AF2DDB" w:rsidRDefault="00276450" w:rsidP="00276450">
      <w:pPr>
        <w:pStyle w:val="-LettreTexteGEDA"/>
        <w:spacing w:before="0"/>
        <w:ind w:firstLine="0"/>
        <w:rPr>
          <w:rFonts w:ascii="Cambria" w:hAnsi="Cambria"/>
          <w:szCs w:val="24"/>
        </w:rPr>
      </w:pPr>
    </w:p>
    <w:p w14:paraId="656F4315" w14:textId="77777777" w:rsidR="00276450" w:rsidRDefault="00276450" w:rsidP="00276450">
      <w:pPr>
        <w:jc w:val="both"/>
        <w:rPr>
          <w:rFonts w:ascii="Cambria" w:hAnsi="Cambria"/>
        </w:rPr>
      </w:pPr>
    </w:p>
    <w:p w14:paraId="786D618E" w14:textId="77777777" w:rsidR="00276450" w:rsidRPr="00566958" w:rsidRDefault="00276450" w:rsidP="00276450">
      <w:pPr>
        <w:jc w:val="both"/>
        <w:rPr>
          <w:rFonts w:ascii="Cambria" w:hAnsi="Cambria"/>
        </w:rPr>
      </w:pPr>
      <w:r w:rsidRPr="00566958">
        <w:rPr>
          <w:rFonts w:ascii="Cambria" w:hAnsi="Cambria"/>
          <w:b/>
        </w:rPr>
        <w:t xml:space="preserve">Avancement du plan d’actions économiques du </w:t>
      </w:r>
      <w:r>
        <w:rPr>
          <w:rFonts w:ascii="Cambria" w:hAnsi="Cambria"/>
          <w:b/>
        </w:rPr>
        <w:t>g</w:t>
      </w:r>
      <w:r w:rsidRPr="00566958">
        <w:rPr>
          <w:rFonts w:ascii="Cambria" w:hAnsi="Cambria"/>
          <w:b/>
        </w:rPr>
        <w:t>ouvernement</w:t>
      </w:r>
    </w:p>
    <w:p w14:paraId="17447821" w14:textId="77777777" w:rsidR="00276450" w:rsidRPr="00566958" w:rsidRDefault="00276450" w:rsidP="00276450">
      <w:pPr>
        <w:jc w:val="both"/>
        <w:rPr>
          <w:rFonts w:ascii="Cambria" w:hAnsi="Cambria"/>
        </w:rPr>
      </w:pPr>
    </w:p>
    <w:p w14:paraId="38C140E9" w14:textId="77777777" w:rsidR="00276450" w:rsidRDefault="00276450" w:rsidP="00276450">
      <w:pPr>
        <w:pStyle w:val="-LettreTexteGEDA"/>
        <w:ind w:firstLine="0"/>
        <w:rPr>
          <w:rFonts w:ascii="Cambria" w:hAnsi="Cambria"/>
        </w:rPr>
      </w:pPr>
      <w:r w:rsidRPr="00566958">
        <w:rPr>
          <w:rFonts w:ascii="Cambria" w:hAnsi="Cambria"/>
        </w:rPr>
        <w:t>Le plan d’actions économiques du gouvernement, acté en avril dernier, et présenté aux principaux acteurs économiques du Pays lors de la conférence économique de mai, est décliné autour de six axes : le soutien à la consommation des ménages, le soutien à l’investissement des ménages, le soutien à l’emploi salarié, le développement des entreprises, le soutien à l’investissement en Polynésie, et diverses mesures sectorielles principalement dans le domaine de l’économie bleue.</w:t>
      </w:r>
      <w:r w:rsidRPr="00566958">
        <w:rPr>
          <w:rFonts w:ascii="Cambria" w:hAnsi="Cambria"/>
          <w:noProof w:val="0"/>
        </w:rPr>
        <w:t xml:space="preserve"> </w:t>
      </w:r>
      <w:r w:rsidRPr="00566958">
        <w:rPr>
          <w:rFonts w:ascii="Cambria" w:hAnsi="Cambria"/>
        </w:rPr>
        <w:t>Le ministre de la Relance économique, de l’économie bleue, de la politique numérique, de la promotion des investissements, a souhaité exposer un bilan intermédiaire des mesures réalisées et celles qui sont en cours de réalisation.</w:t>
      </w:r>
    </w:p>
    <w:p w14:paraId="68E409F3" w14:textId="77777777" w:rsidR="00276450" w:rsidRDefault="00276450" w:rsidP="00276450">
      <w:pPr>
        <w:rPr>
          <w:noProof/>
          <w:szCs w:val="20"/>
          <w:lang w:eastAsia="fr-FR"/>
        </w:rPr>
      </w:pPr>
    </w:p>
    <w:p w14:paraId="0F5EB148" w14:textId="77777777" w:rsidR="00276450" w:rsidRDefault="00276450" w:rsidP="00276450">
      <w:pPr>
        <w:rPr>
          <w:noProof/>
          <w:szCs w:val="20"/>
          <w:lang w:eastAsia="fr-FR"/>
        </w:rPr>
      </w:pPr>
    </w:p>
    <w:p w14:paraId="3EC3D041" w14:textId="77777777" w:rsidR="00276450" w:rsidRPr="00AC121E" w:rsidRDefault="00276450" w:rsidP="00276450">
      <w:pPr>
        <w:rPr>
          <w:rFonts w:ascii="Cambria" w:hAnsi="Cambria"/>
          <w:b/>
        </w:rPr>
      </w:pPr>
      <w:r w:rsidRPr="00AC121E">
        <w:rPr>
          <w:rFonts w:ascii="Cambria" w:hAnsi="Cambria"/>
          <w:b/>
          <w:noProof/>
          <w:szCs w:val="20"/>
          <w:lang w:eastAsia="fr-FR"/>
        </w:rPr>
        <w:t>Indice des prix : baisse de 0,8% au mois d’août</w:t>
      </w:r>
    </w:p>
    <w:p w14:paraId="791910D2" w14:textId="77777777" w:rsidR="00276450" w:rsidRPr="00AC121E" w:rsidRDefault="00276450" w:rsidP="00276450">
      <w:pPr>
        <w:rPr>
          <w:rFonts w:ascii="Cambria" w:hAnsi="Cambria"/>
        </w:rPr>
      </w:pPr>
    </w:p>
    <w:p w14:paraId="51A745DE" w14:textId="77777777" w:rsidR="00276450" w:rsidRPr="00AC121E" w:rsidRDefault="00276450" w:rsidP="00276450">
      <w:pPr>
        <w:pStyle w:val="Default"/>
        <w:spacing w:after="120"/>
        <w:jc w:val="both"/>
        <w:rPr>
          <w:rFonts w:ascii="Cambria" w:hAnsi="Cambria" w:cs="Times New Roman"/>
        </w:rPr>
      </w:pPr>
      <w:r w:rsidRPr="00AC121E">
        <w:rPr>
          <w:rFonts w:ascii="Cambria" w:hAnsi="Cambria" w:cs="Times New Roman"/>
        </w:rPr>
        <w:t xml:space="preserve">Au mois d’août, l'indice des prix à la consommation a diminué de 0,8 % et s'établit à 107,27 essentiellement en raison de la baisse saisonnière des tarifs des transports aériens. Sur douze mois, l'indice général est en repli de 0,4 %. La hausse des prix des produits alimentaires sur la dernière année a atténué la baisse des prix dans les divisions Transports et Logement, eau, gaz électricité et autres combustibles. </w:t>
      </w:r>
    </w:p>
    <w:p w14:paraId="19303FF9" w14:textId="77777777" w:rsidR="00276450" w:rsidRPr="00AC121E" w:rsidRDefault="00276450" w:rsidP="00276450">
      <w:pPr>
        <w:pStyle w:val="Default"/>
        <w:spacing w:after="120"/>
        <w:jc w:val="both"/>
        <w:rPr>
          <w:rFonts w:ascii="Cambria" w:hAnsi="Cambria" w:cs="Times New Roman"/>
        </w:rPr>
      </w:pPr>
      <w:r w:rsidRPr="00AC121E">
        <w:rPr>
          <w:rFonts w:ascii="Cambria" w:hAnsi="Cambria" w:cs="Times New Roman"/>
        </w:rPr>
        <w:t xml:space="preserve">L'indice ouvrier est en baisse de 0,1 % en août. Il est en repli de 0,2 % sur douze mois. Hors transport aérien international, l'indice général est en hausse de 0,2 % en août. Il baisse de 0,3 % sur douze mois. </w:t>
      </w:r>
    </w:p>
    <w:p w14:paraId="6B1303A1" w14:textId="77777777" w:rsidR="00276450" w:rsidRDefault="00276450" w:rsidP="00276450">
      <w:pPr>
        <w:pStyle w:val="-LettreTexteGEDA"/>
        <w:ind w:firstLine="0"/>
        <w:rPr>
          <w:lang w:eastAsia="es-ES"/>
        </w:rPr>
      </w:pPr>
    </w:p>
    <w:p w14:paraId="3C40A25F" w14:textId="77777777" w:rsidR="000D6D1C" w:rsidRDefault="000D6D1C" w:rsidP="00276450">
      <w:pPr>
        <w:pStyle w:val="-LettreTexteGEDA"/>
        <w:ind w:firstLine="0"/>
        <w:rPr>
          <w:lang w:eastAsia="es-ES"/>
        </w:rPr>
      </w:pPr>
    </w:p>
    <w:p w14:paraId="537F1EF7" w14:textId="77777777" w:rsidR="00276450" w:rsidRPr="00566958" w:rsidRDefault="00276450" w:rsidP="00276450">
      <w:pPr>
        <w:pStyle w:val="-LettreTexteGEDA"/>
        <w:ind w:firstLine="0"/>
        <w:rPr>
          <w:rFonts w:ascii="Cambria" w:hAnsi="Cambria"/>
          <w:b/>
        </w:rPr>
      </w:pPr>
      <w:r w:rsidRPr="00566958">
        <w:rPr>
          <w:rFonts w:ascii="Cambria" w:hAnsi="Cambria"/>
          <w:b/>
          <w:lang w:eastAsia="es-ES"/>
        </w:rPr>
        <w:lastRenderedPageBreak/>
        <w:t>Stabilité de l’index du bâtiment</w:t>
      </w:r>
    </w:p>
    <w:p w14:paraId="4ED3BDB9" w14:textId="77777777" w:rsidR="00276450" w:rsidRPr="00566958" w:rsidRDefault="00276450" w:rsidP="00276450">
      <w:pPr>
        <w:pStyle w:val="-LettreTexteGEDA"/>
        <w:rPr>
          <w:rFonts w:ascii="Cambria" w:hAnsi="Cambria"/>
        </w:rPr>
      </w:pPr>
    </w:p>
    <w:p w14:paraId="2C2253CD" w14:textId="77777777" w:rsidR="00276450" w:rsidRPr="00566958" w:rsidRDefault="00276450" w:rsidP="00276450">
      <w:pPr>
        <w:pStyle w:val="-LettreTexteGEDA"/>
        <w:ind w:firstLine="0"/>
        <w:rPr>
          <w:rFonts w:ascii="Cambria" w:hAnsi="Cambria"/>
        </w:rPr>
      </w:pPr>
      <w:r w:rsidRPr="00566958">
        <w:rPr>
          <w:rFonts w:ascii="Cambria" w:hAnsi="Cambria"/>
        </w:rPr>
        <w:t>Au mois d’août, l'index du Bâtiment et des Travaux Publics (BTP) a été stable. L'index des Travaux Publics diminue de 0,2 %, en raison de la baisse des tarifs des services (- 0,1 %). L'index du Bâtiment croît de 0,1 % en  raison  de  l'augmentation  des  prix  des  matériaux  de  construction (+ 0,1 %). Dans le Bâtiment, l'index du Gros Œuvre est en repli de 0,2 % alors que celui du Second Œuvre croît de 0,6 %.</w:t>
      </w:r>
      <w:r>
        <w:rPr>
          <w:rFonts w:ascii="Cambria" w:hAnsi="Cambria"/>
        </w:rPr>
        <w:t xml:space="preserve"> </w:t>
      </w:r>
      <w:r w:rsidRPr="00566958">
        <w:rPr>
          <w:rFonts w:ascii="Cambria" w:hAnsi="Cambria"/>
        </w:rPr>
        <w:t>Dans les Travaux Publics, l'index du Génie Civil et celui des Travaux Spécialisés diminuent de 0,2 %. Sur douze mois, l'index général du BTP est en repli de 2,8 % (- 6,4 % pour l'index des Travaux Publics et augmentation  de 0,2 % pour celui du Bâtiment).</w:t>
      </w:r>
    </w:p>
    <w:p w14:paraId="3BF5A109" w14:textId="77777777" w:rsidR="00276450" w:rsidRDefault="00276450" w:rsidP="00276450">
      <w:pPr>
        <w:pStyle w:val="-LettreTexteGEDA"/>
      </w:pPr>
    </w:p>
    <w:p w14:paraId="592FADA2" w14:textId="77777777" w:rsidR="00276450" w:rsidRPr="00566958" w:rsidRDefault="00276450" w:rsidP="00276450">
      <w:pPr>
        <w:rPr>
          <w:rFonts w:ascii="Cambria" w:hAnsi="Cambria"/>
          <w:noProof/>
          <w:szCs w:val="20"/>
        </w:rPr>
      </w:pPr>
    </w:p>
    <w:p w14:paraId="1525181D" w14:textId="77777777" w:rsidR="00276450" w:rsidRPr="00276450" w:rsidRDefault="00276450" w:rsidP="00276450">
      <w:pPr>
        <w:jc w:val="both"/>
        <w:rPr>
          <w:rFonts w:ascii="Cambria" w:hAnsi="Cambria"/>
          <w:b/>
        </w:rPr>
      </w:pPr>
      <w:r w:rsidRPr="00276450">
        <w:rPr>
          <w:rFonts w:ascii="Cambria" w:hAnsi="Cambria"/>
          <w:b/>
        </w:rPr>
        <w:t>Point sur les index hybrides</w:t>
      </w:r>
    </w:p>
    <w:p w14:paraId="4B1AD877" w14:textId="77777777" w:rsidR="00276450" w:rsidRDefault="00276450" w:rsidP="00276450">
      <w:pPr>
        <w:jc w:val="both"/>
        <w:rPr>
          <w:rFonts w:asciiTheme="majorHAnsi" w:hAnsiTheme="majorHAnsi"/>
        </w:rPr>
      </w:pPr>
    </w:p>
    <w:p w14:paraId="5FEF3574" w14:textId="77777777" w:rsidR="00276450" w:rsidRPr="00AC121E" w:rsidRDefault="00276450" w:rsidP="00276450">
      <w:pPr>
        <w:pStyle w:val="-LettreTexteGEDA"/>
        <w:ind w:firstLine="0"/>
        <w:rPr>
          <w:rFonts w:ascii="Cambria" w:hAnsi="Cambria"/>
        </w:rPr>
      </w:pPr>
      <w:r w:rsidRPr="00AC121E">
        <w:rPr>
          <w:rFonts w:ascii="Cambria" w:hAnsi="Cambria"/>
        </w:rPr>
        <w:t>En août 2016, les index hybrides prennent les valeurs suivantes :</w:t>
      </w:r>
    </w:p>
    <w:p w14:paraId="76E29661" w14:textId="77777777" w:rsidR="00276450" w:rsidRPr="00AC121E" w:rsidRDefault="00276450" w:rsidP="00276450">
      <w:pPr>
        <w:pStyle w:val="-LettreTexteGEDA"/>
        <w:ind w:firstLine="0"/>
        <w:rPr>
          <w:rFonts w:ascii="Cambria" w:hAnsi="Cambria"/>
        </w:rPr>
      </w:pPr>
    </w:p>
    <w:tbl>
      <w:tblPr>
        <w:tblW w:w="7700" w:type="dxa"/>
        <w:tblInd w:w="1063" w:type="dxa"/>
        <w:tblCellMar>
          <w:left w:w="70" w:type="dxa"/>
          <w:right w:w="70" w:type="dxa"/>
        </w:tblCellMar>
        <w:tblLook w:val="04A0" w:firstRow="1" w:lastRow="0" w:firstColumn="1" w:lastColumn="0" w:noHBand="0" w:noVBand="1"/>
      </w:tblPr>
      <w:tblGrid>
        <w:gridCol w:w="3740"/>
        <w:gridCol w:w="1540"/>
        <w:gridCol w:w="2420"/>
      </w:tblGrid>
      <w:tr w:rsidR="00276450" w:rsidRPr="00AC121E" w14:paraId="29ABD078" w14:textId="77777777" w:rsidTr="007821F5">
        <w:trPr>
          <w:trHeight w:val="300"/>
        </w:trPr>
        <w:tc>
          <w:tcPr>
            <w:tcW w:w="3740" w:type="dxa"/>
            <w:tcBorders>
              <w:top w:val="dotted" w:sz="4" w:space="0" w:color="auto"/>
              <w:left w:val="dotted" w:sz="4" w:space="0" w:color="auto"/>
              <w:bottom w:val="dotted" w:sz="4" w:space="0" w:color="auto"/>
              <w:right w:val="dotted" w:sz="4" w:space="0" w:color="auto"/>
            </w:tcBorders>
            <w:noWrap/>
            <w:vAlign w:val="bottom"/>
            <w:hideMark/>
          </w:tcPr>
          <w:p w14:paraId="6DAFEF03" w14:textId="77777777" w:rsidR="00276450" w:rsidRPr="00AC121E" w:rsidRDefault="00276450" w:rsidP="007821F5">
            <w:pPr>
              <w:rPr>
                <w:rFonts w:ascii="Cambria" w:hAnsi="Cambria"/>
                <w:color w:val="000000"/>
                <w:sz w:val="22"/>
                <w:szCs w:val="22"/>
              </w:rPr>
            </w:pPr>
            <w:r w:rsidRPr="00AC121E">
              <w:rPr>
                <w:rFonts w:ascii="Cambria" w:hAnsi="Cambria"/>
                <w:color w:val="000000"/>
                <w:sz w:val="22"/>
                <w:szCs w:val="22"/>
              </w:rPr>
              <w:t>Index</w:t>
            </w:r>
          </w:p>
        </w:tc>
        <w:tc>
          <w:tcPr>
            <w:tcW w:w="1540" w:type="dxa"/>
            <w:tcBorders>
              <w:top w:val="dotted" w:sz="4" w:space="0" w:color="auto"/>
              <w:left w:val="nil"/>
              <w:bottom w:val="dotted" w:sz="4" w:space="0" w:color="auto"/>
              <w:right w:val="dotted" w:sz="4" w:space="0" w:color="auto"/>
            </w:tcBorders>
            <w:noWrap/>
            <w:vAlign w:val="bottom"/>
            <w:hideMark/>
          </w:tcPr>
          <w:p w14:paraId="117135F6"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Valeur</w:t>
            </w:r>
          </w:p>
        </w:tc>
        <w:tc>
          <w:tcPr>
            <w:tcW w:w="2420" w:type="dxa"/>
            <w:tcBorders>
              <w:top w:val="dotted" w:sz="4" w:space="0" w:color="auto"/>
              <w:left w:val="nil"/>
              <w:bottom w:val="dotted" w:sz="4" w:space="0" w:color="auto"/>
              <w:right w:val="dotted" w:sz="4" w:space="0" w:color="auto"/>
            </w:tcBorders>
            <w:noWrap/>
            <w:vAlign w:val="bottom"/>
            <w:hideMark/>
          </w:tcPr>
          <w:p w14:paraId="3F2FD930"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Variation mensuelle</w:t>
            </w:r>
          </w:p>
        </w:tc>
      </w:tr>
      <w:tr w:rsidR="00276450" w:rsidRPr="00AC121E" w14:paraId="2AB176CE" w14:textId="77777777" w:rsidTr="007821F5">
        <w:trPr>
          <w:trHeight w:val="300"/>
        </w:trPr>
        <w:tc>
          <w:tcPr>
            <w:tcW w:w="3740" w:type="dxa"/>
            <w:tcBorders>
              <w:top w:val="nil"/>
              <w:left w:val="dotted" w:sz="4" w:space="0" w:color="auto"/>
              <w:bottom w:val="dotted" w:sz="4" w:space="0" w:color="auto"/>
              <w:right w:val="dotted" w:sz="4" w:space="0" w:color="auto"/>
            </w:tcBorders>
            <w:noWrap/>
            <w:vAlign w:val="bottom"/>
            <w:hideMark/>
          </w:tcPr>
          <w:p w14:paraId="3F6950C1" w14:textId="77777777" w:rsidR="00276450" w:rsidRPr="00AC121E" w:rsidRDefault="00276450" w:rsidP="007821F5">
            <w:pPr>
              <w:rPr>
                <w:rFonts w:ascii="Cambria" w:hAnsi="Cambria"/>
                <w:color w:val="000000"/>
                <w:sz w:val="22"/>
                <w:szCs w:val="22"/>
              </w:rPr>
            </w:pPr>
            <w:r w:rsidRPr="00AC121E">
              <w:rPr>
                <w:rFonts w:ascii="Cambria" w:hAnsi="Cambria"/>
                <w:color w:val="000000"/>
                <w:sz w:val="22"/>
                <w:szCs w:val="22"/>
              </w:rPr>
              <w:t>Index du Gardiennage</w:t>
            </w:r>
          </w:p>
        </w:tc>
        <w:tc>
          <w:tcPr>
            <w:tcW w:w="1540" w:type="dxa"/>
            <w:tcBorders>
              <w:top w:val="nil"/>
              <w:left w:val="nil"/>
              <w:bottom w:val="dotted" w:sz="4" w:space="0" w:color="auto"/>
              <w:right w:val="dotted" w:sz="4" w:space="0" w:color="auto"/>
            </w:tcBorders>
            <w:noWrap/>
            <w:vAlign w:val="bottom"/>
            <w:hideMark/>
          </w:tcPr>
          <w:p w14:paraId="464BC8B1"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112,31</w:t>
            </w:r>
          </w:p>
        </w:tc>
        <w:tc>
          <w:tcPr>
            <w:tcW w:w="2420" w:type="dxa"/>
            <w:tcBorders>
              <w:top w:val="nil"/>
              <w:left w:val="nil"/>
              <w:bottom w:val="dotted" w:sz="4" w:space="0" w:color="auto"/>
              <w:right w:val="dotted" w:sz="4" w:space="0" w:color="auto"/>
            </w:tcBorders>
            <w:noWrap/>
            <w:vAlign w:val="bottom"/>
            <w:hideMark/>
          </w:tcPr>
          <w:p w14:paraId="645EFA34"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+ 0,4 %</w:t>
            </w:r>
          </w:p>
        </w:tc>
      </w:tr>
      <w:tr w:rsidR="00276450" w:rsidRPr="00AC121E" w14:paraId="257C51BD" w14:textId="77777777" w:rsidTr="007821F5">
        <w:trPr>
          <w:trHeight w:val="300"/>
        </w:trPr>
        <w:tc>
          <w:tcPr>
            <w:tcW w:w="3740" w:type="dxa"/>
            <w:tcBorders>
              <w:top w:val="nil"/>
              <w:left w:val="dotted" w:sz="4" w:space="0" w:color="auto"/>
              <w:bottom w:val="dotted" w:sz="4" w:space="0" w:color="auto"/>
              <w:right w:val="dotted" w:sz="4" w:space="0" w:color="auto"/>
            </w:tcBorders>
            <w:noWrap/>
            <w:vAlign w:val="bottom"/>
            <w:hideMark/>
          </w:tcPr>
          <w:p w14:paraId="75279579" w14:textId="77777777" w:rsidR="00276450" w:rsidRPr="00AC121E" w:rsidRDefault="00276450" w:rsidP="007821F5">
            <w:pPr>
              <w:rPr>
                <w:rFonts w:ascii="Cambria" w:hAnsi="Cambria"/>
                <w:color w:val="000000"/>
                <w:sz w:val="22"/>
                <w:szCs w:val="22"/>
              </w:rPr>
            </w:pPr>
            <w:r w:rsidRPr="00AC121E">
              <w:rPr>
                <w:rFonts w:ascii="Cambria" w:hAnsi="Cambria"/>
                <w:color w:val="000000"/>
                <w:sz w:val="22"/>
                <w:szCs w:val="22"/>
              </w:rPr>
              <w:t>Index de la Sûreté</w:t>
            </w:r>
          </w:p>
        </w:tc>
        <w:tc>
          <w:tcPr>
            <w:tcW w:w="1540" w:type="dxa"/>
            <w:tcBorders>
              <w:top w:val="nil"/>
              <w:left w:val="nil"/>
              <w:bottom w:val="dotted" w:sz="4" w:space="0" w:color="auto"/>
              <w:right w:val="dotted" w:sz="4" w:space="0" w:color="auto"/>
            </w:tcBorders>
            <w:noWrap/>
            <w:vAlign w:val="bottom"/>
            <w:hideMark/>
          </w:tcPr>
          <w:p w14:paraId="0A9E3E98"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108,95</w:t>
            </w:r>
          </w:p>
        </w:tc>
        <w:tc>
          <w:tcPr>
            <w:tcW w:w="2420" w:type="dxa"/>
            <w:tcBorders>
              <w:top w:val="nil"/>
              <w:left w:val="nil"/>
              <w:bottom w:val="dotted" w:sz="4" w:space="0" w:color="auto"/>
              <w:right w:val="dotted" w:sz="4" w:space="0" w:color="auto"/>
            </w:tcBorders>
            <w:noWrap/>
            <w:vAlign w:val="bottom"/>
            <w:hideMark/>
          </w:tcPr>
          <w:p w14:paraId="73D3F574"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+ 0,1 %</w:t>
            </w:r>
          </w:p>
        </w:tc>
      </w:tr>
      <w:tr w:rsidR="00276450" w:rsidRPr="00AC121E" w14:paraId="08341DD5" w14:textId="77777777" w:rsidTr="007821F5">
        <w:trPr>
          <w:trHeight w:val="300"/>
        </w:trPr>
        <w:tc>
          <w:tcPr>
            <w:tcW w:w="3740" w:type="dxa"/>
            <w:tcBorders>
              <w:top w:val="nil"/>
              <w:left w:val="dotted" w:sz="4" w:space="0" w:color="auto"/>
              <w:bottom w:val="dotted" w:sz="4" w:space="0" w:color="auto"/>
              <w:right w:val="dotted" w:sz="4" w:space="0" w:color="auto"/>
            </w:tcBorders>
            <w:noWrap/>
            <w:vAlign w:val="bottom"/>
            <w:hideMark/>
          </w:tcPr>
          <w:p w14:paraId="2D587709" w14:textId="77777777" w:rsidR="00276450" w:rsidRPr="00AC121E" w:rsidRDefault="00276450" w:rsidP="007821F5">
            <w:pPr>
              <w:rPr>
                <w:rFonts w:ascii="Cambria" w:hAnsi="Cambria"/>
                <w:color w:val="000000"/>
                <w:sz w:val="22"/>
                <w:szCs w:val="22"/>
              </w:rPr>
            </w:pPr>
            <w:r w:rsidRPr="00AC121E">
              <w:rPr>
                <w:rFonts w:ascii="Cambria" w:hAnsi="Cambria"/>
                <w:color w:val="000000"/>
                <w:sz w:val="22"/>
                <w:szCs w:val="22"/>
              </w:rPr>
              <w:t>Index des Véhicules Légers</w:t>
            </w:r>
          </w:p>
        </w:tc>
        <w:tc>
          <w:tcPr>
            <w:tcW w:w="1540" w:type="dxa"/>
            <w:tcBorders>
              <w:top w:val="nil"/>
              <w:left w:val="nil"/>
              <w:bottom w:val="dotted" w:sz="4" w:space="0" w:color="auto"/>
              <w:right w:val="dotted" w:sz="4" w:space="0" w:color="auto"/>
            </w:tcBorders>
            <w:noWrap/>
            <w:vAlign w:val="bottom"/>
            <w:hideMark/>
          </w:tcPr>
          <w:p w14:paraId="35DB50AA"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107,41</w:t>
            </w:r>
          </w:p>
        </w:tc>
        <w:tc>
          <w:tcPr>
            <w:tcW w:w="2420" w:type="dxa"/>
            <w:tcBorders>
              <w:top w:val="nil"/>
              <w:left w:val="nil"/>
              <w:bottom w:val="dotted" w:sz="4" w:space="0" w:color="auto"/>
              <w:right w:val="dotted" w:sz="4" w:space="0" w:color="auto"/>
            </w:tcBorders>
            <w:noWrap/>
            <w:vAlign w:val="bottom"/>
            <w:hideMark/>
          </w:tcPr>
          <w:p w14:paraId="39B24CAB"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w:t>
            </w:r>
          </w:p>
        </w:tc>
      </w:tr>
      <w:tr w:rsidR="00276450" w:rsidRPr="00AC121E" w14:paraId="49688C47" w14:textId="77777777" w:rsidTr="007821F5">
        <w:trPr>
          <w:trHeight w:val="300"/>
        </w:trPr>
        <w:tc>
          <w:tcPr>
            <w:tcW w:w="3740" w:type="dxa"/>
            <w:tcBorders>
              <w:top w:val="nil"/>
              <w:left w:val="dotted" w:sz="4" w:space="0" w:color="auto"/>
              <w:bottom w:val="dotted" w:sz="4" w:space="0" w:color="auto"/>
              <w:right w:val="dotted" w:sz="4" w:space="0" w:color="auto"/>
            </w:tcBorders>
            <w:noWrap/>
            <w:vAlign w:val="bottom"/>
            <w:hideMark/>
          </w:tcPr>
          <w:p w14:paraId="52692276" w14:textId="77777777" w:rsidR="00276450" w:rsidRPr="00AC121E" w:rsidRDefault="00276450" w:rsidP="007821F5">
            <w:pPr>
              <w:rPr>
                <w:rFonts w:ascii="Cambria" w:hAnsi="Cambria"/>
                <w:color w:val="000000"/>
                <w:sz w:val="22"/>
                <w:szCs w:val="22"/>
              </w:rPr>
            </w:pPr>
            <w:r w:rsidRPr="00AC121E">
              <w:rPr>
                <w:rFonts w:ascii="Cambria" w:hAnsi="Cambria"/>
                <w:color w:val="000000"/>
                <w:sz w:val="22"/>
                <w:szCs w:val="22"/>
              </w:rPr>
              <w:t>Index des Véhicules de Chantier</w:t>
            </w:r>
          </w:p>
        </w:tc>
        <w:tc>
          <w:tcPr>
            <w:tcW w:w="1540" w:type="dxa"/>
            <w:tcBorders>
              <w:top w:val="nil"/>
              <w:left w:val="nil"/>
              <w:bottom w:val="dotted" w:sz="4" w:space="0" w:color="auto"/>
              <w:right w:val="dotted" w:sz="4" w:space="0" w:color="auto"/>
            </w:tcBorders>
            <w:noWrap/>
            <w:vAlign w:val="bottom"/>
            <w:hideMark/>
          </w:tcPr>
          <w:p w14:paraId="265BD78B"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104,67</w:t>
            </w:r>
          </w:p>
        </w:tc>
        <w:tc>
          <w:tcPr>
            <w:tcW w:w="2420" w:type="dxa"/>
            <w:tcBorders>
              <w:top w:val="nil"/>
              <w:left w:val="nil"/>
              <w:bottom w:val="dotted" w:sz="4" w:space="0" w:color="auto"/>
              <w:right w:val="dotted" w:sz="4" w:space="0" w:color="auto"/>
            </w:tcBorders>
            <w:noWrap/>
            <w:vAlign w:val="bottom"/>
            <w:hideMark/>
          </w:tcPr>
          <w:p w14:paraId="2C68BEB2" w14:textId="77777777" w:rsidR="00276450" w:rsidRPr="00AC121E" w:rsidRDefault="00276450" w:rsidP="007821F5">
            <w:pPr>
              <w:jc w:val="center"/>
              <w:rPr>
                <w:rFonts w:ascii="Cambria" w:hAnsi="Cambria"/>
                <w:color w:val="000000"/>
                <w:sz w:val="22"/>
                <w:szCs w:val="22"/>
              </w:rPr>
            </w:pPr>
            <w:r w:rsidRPr="00AC121E">
              <w:rPr>
                <w:rFonts w:ascii="Cambria" w:hAnsi="Cambria"/>
                <w:color w:val="000000"/>
                <w:sz w:val="22"/>
                <w:szCs w:val="22"/>
              </w:rPr>
              <w:t>-</w:t>
            </w:r>
          </w:p>
        </w:tc>
      </w:tr>
    </w:tbl>
    <w:p w14:paraId="4ADA62EC" w14:textId="77777777" w:rsidR="00276450" w:rsidRPr="00AC121E" w:rsidRDefault="00276450" w:rsidP="00276450">
      <w:pPr>
        <w:pStyle w:val="-LettreSuiteORefPJGEDA"/>
        <w:ind w:left="0"/>
        <w:rPr>
          <w:rFonts w:ascii="Cambria" w:hAnsi="Cambria"/>
        </w:rPr>
      </w:pPr>
    </w:p>
    <w:p w14:paraId="3711DD7D" w14:textId="77777777" w:rsidR="00276450" w:rsidRPr="00AC121E" w:rsidRDefault="00276450" w:rsidP="00276450">
      <w:pPr>
        <w:pStyle w:val="-LettreSuiteORefPJGEDA"/>
        <w:ind w:left="0"/>
        <w:rPr>
          <w:rFonts w:ascii="Cambria" w:hAnsi="Cambria"/>
        </w:rPr>
      </w:pPr>
      <w:r w:rsidRPr="00AC121E">
        <w:rPr>
          <w:rFonts w:ascii="Cambria" w:hAnsi="Cambria"/>
        </w:rPr>
        <w:t>En août 2016, les index du gardiennage et de la sûreté progressent respectivement de 0,4 % et 0,1 %. Les index des véhicules légers et des véhicules de chantier restent stables.</w:t>
      </w:r>
    </w:p>
    <w:p w14:paraId="7400B930" w14:textId="77777777" w:rsidR="0087175A" w:rsidRDefault="0087175A" w:rsidP="0087175A">
      <w:pPr>
        <w:rPr>
          <w:rFonts w:ascii="Cambria" w:hAnsi="Cambria"/>
          <w:lang w:eastAsia="fr-FR"/>
        </w:rPr>
      </w:pPr>
    </w:p>
    <w:p w14:paraId="49CD729C" w14:textId="77777777" w:rsidR="005F1772" w:rsidRDefault="005F1772" w:rsidP="0087175A">
      <w:pPr>
        <w:rPr>
          <w:rFonts w:ascii="Cambria" w:hAnsi="Cambria"/>
          <w:lang w:eastAsia="fr-FR"/>
        </w:rPr>
      </w:pPr>
    </w:p>
    <w:p w14:paraId="0CCC0767" w14:textId="77777777" w:rsidR="00BD57B1" w:rsidRPr="00BD57B1" w:rsidRDefault="00BD57B1" w:rsidP="005F1772">
      <w:pPr>
        <w:jc w:val="both"/>
        <w:rPr>
          <w:rFonts w:ascii="Cambria" w:hAnsi="Cambria"/>
          <w:b/>
          <w:lang w:eastAsia="fr-FR"/>
        </w:rPr>
      </w:pPr>
      <w:r w:rsidRPr="00BD57B1">
        <w:rPr>
          <w:rFonts w:ascii="Cambria" w:hAnsi="Cambria"/>
          <w:b/>
          <w:lang w:eastAsia="fr-FR"/>
        </w:rPr>
        <w:t>Mise en place d’un dispositif d’aide individuelle en vue de favoriser la sortie de l’indivision immobilière</w:t>
      </w:r>
    </w:p>
    <w:p w14:paraId="0A44A282" w14:textId="77777777" w:rsidR="00BD57B1" w:rsidRPr="00BD57B1" w:rsidRDefault="00BD57B1" w:rsidP="005F1772">
      <w:pPr>
        <w:jc w:val="both"/>
        <w:rPr>
          <w:rFonts w:ascii="Cambria" w:hAnsi="Cambria"/>
          <w:lang w:eastAsia="fr-FR"/>
        </w:rPr>
      </w:pPr>
    </w:p>
    <w:p w14:paraId="061B0F86" w14:textId="77777777" w:rsidR="00BD57B1" w:rsidRPr="00BD57B1" w:rsidRDefault="00BD57B1" w:rsidP="005F1772">
      <w:pPr>
        <w:jc w:val="both"/>
        <w:rPr>
          <w:rFonts w:ascii="Cambria" w:hAnsi="Cambria"/>
          <w:lang w:eastAsia="fr-FR"/>
        </w:rPr>
      </w:pPr>
      <w:r w:rsidRPr="00BD57B1">
        <w:rPr>
          <w:rFonts w:ascii="Cambria" w:hAnsi="Cambria"/>
          <w:lang w:eastAsia="fr-FR"/>
        </w:rPr>
        <w:t>L’une des priorités du gouvernement est de trouver les solutions permettant de résoudre les  problématiques du partage et de la propriété foncière, et ainsi apaiser les conflits qui déchirent aujourd’hui de nombreuses familles.</w:t>
      </w:r>
    </w:p>
    <w:p w14:paraId="572F474B" w14:textId="77777777" w:rsidR="00BD57B1" w:rsidRPr="00BD57B1" w:rsidRDefault="00BD57B1" w:rsidP="005F1772">
      <w:pPr>
        <w:jc w:val="both"/>
        <w:rPr>
          <w:rFonts w:ascii="Cambria" w:hAnsi="Cambria"/>
          <w:lang w:eastAsia="fr-FR"/>
        </w:rPr>
      </w:pPr>
    </w:p>
    <w:p w14:paraId="4BCEEA40" w14:textId="3415F7BA" w:rsidR="00BD57B1" w:rsidRPr="00BD57B1" w:rsidRDefault="00BD57B1" w:rsidP="005F1772">
      <w:pPr>
        <w:jc w:val="both"/>
        <w:rPr>
          <w:rFonts w:ascii="Cambria" w:hAnsi="Cambria"/>
          <w:lang w:eastAsia="fr-FR"/>
        </w:rPr>
      </w:pPr>
      <w:r w:rsidRPr="00BD57B1">
        <w:rPr>
          <w:rFonts w:ascii="Cambria" w:hAnsi="Cambria"/>
          <w:lang w:eastAsia="fr-FR"/>
        </w:rPr>
        <w:t>D</w:t>
      </w:r>
      <w:r w:rsidR="005F1772">
        <w:rPr>
          <w:rFonts w:ascii="Cambria" w:hAnsi="Cambria"/>
          <w:lang w:eastAsia="fr-FR"/>
        </w:rPr>
        <w:t xml:space="preserve">ans le prolongement de la mise </w:t>
      </w:r>
      <w:r w:rsidRPr="00BD57B1">
        <w:rPr>
          <w:rFonts w:ascii="Cambria" w:hAnsi="Cambria"/>
          <w:lang w:eastAsia="fr-FR"/>
        </w:rPr>
        <w:t xml:space="preserve">en place du Tribunal foncier, un nouveau dispositif sera proposé afin d’instituer une aide financière en faveur des ménages modestes, pour prendre en charge tout ou partie des frais associés à la mise en œuvre des procédures de sortie d’indivision immobilière d’origine successorale. </w:t>
      </w:r>
    </w:p>
    <w:p w14:paraId="5BFD8991" w14:textId="77777777" w:rsidR="00BD57B1" w:rsidRPr="00BD57B1" w:rsidRDefault="00BD57B1" w:rsidP="005F1772">
      <w:pPr>
        <w:jc w:val="both"/>
        <w:rPr>
          <w:rFonts w:ascii="Cambria" w:hAnsi="Cambria"/>
          <w:lang w:eastAsia="fr-FR"/>
        </w:rPr>
      </w:pPr>
    </w:p>
    <w:p w14:paraId="2893643B" w14:textId="77777777" w:rsidR="00BD57B1" w:rsidRPr="00BD57B1" w:rsidRDefault="00BD57B1" w:rsidP="005F1772">
      <w:pPr>
        <w:jc w:val="both"/>
        <w:rPr>
          <w:rFonts w:ascii="Cambria" w:hAnsi="Cambria"/>
          <w:lang w:eastAsia="fr-FR"/>
        </w:rPr>
      </w:pPr>
      <w:r w:rsidRPr="00BD57B1">
        <w:rPr>
          <w:rFonts w:ascii="Cambria" w:hAnsi="Cambria"/>
          <w:lang w:eastAsia="fr-FR"/>
        </w:rPr>
        <w:t xml:space="preserve">En effet, alors même que le partage a fait l’objet d’une décision judiciaire ou bien qu’un partage amiable est souhaité, de nombreuses situations d’indivision perdurent en raison de l’importance des coûts requis pour leur mise en œuvre : frais de géomètre, frais notariés, frais d’avocats ou encore droits d’enregistrement et de transcription. </w:t>
      </w:r>
    </w:p>
    <w:p w14:paraId="3978FC22" w14:textId="77777777" w:rsidR="00BD57B1" w:rsidRPr="00BD57B1" w:rsidRDefault="00BD57B1" w:rsidP="005F1772">
      <w:pPr>
        <w:jc w:val="both"/>
        <w:rPr>
          <w:rFonts w:ascii="Cambria" w:hAnsi="Cambria"/>
          <w:lang w:eastAsia="fr-FR"/>
        </w:rPr>
      </w:pPr>
    </w:p>
    <w:p w14:paraId="0445B9C8" w14:textId="31889130" w:rsidR="00A324C5" w:rsidRDefault="00BD57B1" w:rsidP="005F1772">
      <w:pPr>
        <w:jc w:val="both"/>
        <w:rPr>
          <w:rFonts w:ascii="Cambria" w:hAnsi="Cambria"/>
          <w:lang w:eastAsia="fr-FR"/>
        </w:rPr>
      </w:pPr>
      <w:r w:rsidRPr="00BD57B1">
        <w:rPr>
          <w:rFonts w:ascii="Cambria" w:hAnsi="Cambria"/>
          <w:lang w:eastAsia="fr-FR"/>
        </w:rPr>
        <w:t xml:space="preserve">Ainsi, sont visées les sorties indivisions foncières ayant fait l’objet d’une décision judiciaire devenue définitive et les partages amiables établis devant le notaire. Le montant de l’aide qui sera versée directement à celui qui réalisera la prestation, pourra </w:t>
      </w:r>
      <w:r w:rsidRPr="00BD57B1">
        <w:rPr>
          <w:rFonts w:ascii="Cambria" w:hAnsi="Cambria"/>
          <w:lang w:eastAsia="fr-FR"/>
        </w:rPr>
        <w:lastRenderedPageBreak/>
        <w:t>représenter jusqu’à 100 % du montant du coût de sortie de l’indivision mais sera toutefois plafonné par un arrêté pris en Conseil des ministres.</w:t>
      </w:r>
    </w:p>
    <w:p w14:paraId="541436A9" w14:textId="77777777" w:rsidR="005F1772" w:rsidRDefault="005F1772" w:rsidP="005F1772">
      <w:pPr>
        <w:jc w:val="both"/>
        <w:rPr>
          <w:rFonts w:ascii="Cambria" w:hAnsi="Cambria"/>
          <w:lang w:eastAsia="fr-FR"/>
        </w:rPr>
      </w:pPr>
    </w:p>
    <w:p w14:paraId="2681DC8B" w14:textId="77777777" w:rsidR="005F1772" w:rsidRDefault="005F1772" w:rsidP="005F1772">
      <w:pPr>
        <w:jc w:val="both"/>
        <w:rPr>
          <w:rFonts w:ascii="Cambria" w:hAnsi="Cambria"/>
          <w:lang w:eastAsia="fr-FR"/>
        </w:rPr>
      </w:pPr>
    </w:p>
    <w:p w14:paraId="1680A83F" w14:textId="77777777" w:rsidR="00A324C5" w:rsidRPr="00867FF4" w:rsidRDefault="00A324C5" w:rsidP="00A324C5">
      <w:pPr>
        <w:jc w:val="both"/>
        <w:rPr>
          <w:rFonts w:ascii="Cambria" w:hAnsi="Cambria"/>
          <w:b/>
        </w:rPr>
      </w:pPr>
      <w:r w:rsidRPr="00867FF4">
        <w:rPr>
          <w:rFonts w:ascii="Cambria" w:hAnsi="Cambria"/>
          <w:b/>
        </w:rPr>
        <w:t>Attribution de subvention de fonctionnement</w:t>
      </w:r>
      <w:r>
        <w:rPr>
          <w:rFonts w:ascii="Cambria" w:hAnsi="Cambria"/>
          <w:b/>
        </w:rPr>
        <w:t xml:space="preserve"> aux associations sportives et de jeunesse</w:t>
      </w:r>
    </w:p>
    <w:p w14:paraId="60C338E0" w14:textId="77777777" w:rsidR="00A324C5" w:rsidRPr="00867FF4" w:rsidRDefault="00A324C5" w:rsidP="00A324C5">
      <w:pPr>
        <w:jc w:val="both"/>
        <w:rPr>
          <w:rFonts w:ascii="Cambria" w:hAnsi="Cambria"/>
        </w:rPr>
      </w:pPr>
    </w:p>
    <w:p w14:paraId="41251EA2" w14:textId="07D38AF1" w:rsidR="00A324C5" w:rsidRDefault="00A324C5" w:rsidP="00A324C5">
      <w:pPr>
        <w:jc w:val="both"/>
        <w:rPr>
          <w:rFonts w:ascii="Cambria" w:hAnsi="Cambria"/>
        </w:rPr>
      </w:pPr>
      <w:r>
        <w:rPr>
          <w:rFonts w:ascii="Cambria" w:hAnsi="Cambria"/>
        </w:rPr>
        <w:t xml:space="preserve">La mise en œuvre de </w:t>
      </w:r>
      <w:r w:rsidRPr="00867FF4">
        <w:rPr>
          <w:rFonts w:ascii="Cambria" w:hAnsi="Cambria"/>
        </w:rPr>
        <w:t>la politique sportive</w:t>
      </w:r>
      <w:r>
        <w:rPr>
          <w:rFonts w:ascii="Cambria" w:hAnsi="Cambria"/>
        </w:rPr>
        <w:t xml:space="preserve"> et de jeunesse</w:t>
      </w:r>
      <w:r w:rsidRPr="00867FF4">
        <w:rPr>
          <w:rFonts w:ascii="Cambria" w:hAnsi="Cambria"/>
        </w:rPr>
        <w:t xml:space="preserve"> du Pays s’appuie, </w:t>
      </w:r>
      <w:r>
        <w:rPr>
          <w:rFonts w:ascii="Cambria" w:hAnsi="Cambria"/>
        </w:rPr>
        <w:t>essentiellement</w:t>
      </w:r>
      <w:r w:rsidRPr="00867FF4">
        <w:rPr>
          <w:rFonts w:ascii="Cambria" w:hAnsi="Cambria"/>
        </w:rPr>
        <w:t>, sur un tissu associatif dynamique</w:t>
      </w:r>
      <w:r>
        <w:rPr>
          <w:rFonts w:ascii="Cambria" w:hAnsi="Cambria"/>
        </w:rPr>
        <w:t>.</w:t>
      </w:r>
      <w:r w:rsidR="005F1772">
        <w:rPr>
          <w:rFonts w:ascii="Cambria" w:hAnsi="Cambria"/>
        </w:rPr>
        <w:t xml:space="preserve"> </w:t>
      </w:r>
      <w:r>
        <w:rPr>
          <w:rFonts w:ascii="Cambria" w:hAnsi="Cambria"/>
        </w:rPr>
        <w:t xml:space="preserve">Afin d’aider ces associations à </w:t>
      </w:r>
      <w:r w:rsidRPr="00867FF4">
        <w:rPr>
          <w:rFonts w:ascii="Cambria" w:hAnsi="Cambria"/>
        </w:rPr>
        <w:t xml:space="preserve">mener à bien </w:t>
      </w:r>
      <w:r>
        <w:rPr>
          <w:rFonts w:ascii="Cambria" w:hAnsi="Cambria"/>
        </w:rPr>
        <w:t>leurs</w:t>
      </w:r>
      <w:r w:rsidRPr="00867FF4">
        <w:rPr>
          <w:rFonts w:ascii="Cambria" w:hAnsi="Cambria"/>
        </w:rPr>
        <w:t xml:space="preserve"> missions de service </w:t>
      </w:r>
      <w:r>
        <w:rPr>
          <w:rFonts w:ascii="Cambria" w:hAnsi="Cambria"/>
        </w:rPr>
        <w:t>public</w:t>
      </w:r>
      <w:r w:rsidRPr="00867FF4">
        <w:rPr>
          <w:rFonts w:ascii="Cambria" w:hAnsi="Cambria"/>
        </w:rPr>
        <w:t xml:space="preserve">, le Pays </w:t>
      </w:r>
      <w:r>
        <w:rPr>
          <w:rFonts w:ascii="Cambria" w:hAnsi="Cambria"/>
        </w:rPr>
        <w:t xml:space="preserve">et l’Etat leur </w:t>
      </w:r>
      <w:r w:rsidRPr="00867FF4">
        <w:rPr>
          <w:rFonts w:ascii="Cambria" w:hAnsi="Cambria"/>
        </w:rPr>
        <w:t>alloue</w:t>
      </w:r>
      <w:r>
        <w:rPr>
          <w:rFonts w:ascii="Cambria" w:hAnsi="Cambria"/>
        </w:rPr>
        <w:t>nt, notamment, chaque année</w:t>
      </w:r>
      <w:r w:rsidRPr="00867FF4">
        <w:rPr>
          <w:rFonts w:ascii="Cambria" w:hAnsi="Cambria"/>
        </w:rPr>
        <w:t xml:space="preserve"> des aides financières, sous forme de subventions de fonctionnement</w:t>
      </w:r>
      <w:r>
        <w:rPr>
          <w:rFonts w:ascii="Cambria" w:hAnsi="Cambria"/>
        </w:rPr>
        <w:t>.</w:t>
      </w:r>
    </w:p>
    <w:p w14:paraId="790C20C6" w14:textId="77777777" w:rsidR="00A324C5" w:rsidRDefault="00A324C5" w:rsidP="00A324C5">
      <w:pPr>
        <w:jc w:val="both"/>
        <w:rPr>
          <w:rFonts w:ascii="Cambria" w:hAnsi="Cambria"/>
        </w:rPr>
      </w:pPr>
    </w:p>
    <w:p w14:paraId="48151347" w14:textId="77777777" w:rsidR="00A324C5" w:rsidRDefault="00A324C5" w:rsidP="00A324C5">
      <w:pPr>
        <w:jc w:val="both"/>
        <w:rPr>
          <w:rFonts w:ascii="Cambria" w:hAnsi="Cambria"/>
        </w:rPr>
      </w:pPr>
      <w:r>
        <w:rPr>
          <w:rFonts w:ascii="Cambria" w:hAnsi="Cambria"/>
        </w:rPr>
        <w:t xml:space="preserve">Une commission du </w:t>
      </w:r>
      <w:r w:rsidRPr="00867FF4">
        <w:rPr>
          <w:rFonts w:ascii="Cambria" w:hAnsi="Cambria"/>
        </w:rPr>
        <w:t xml:space="preserve">Centre national de développement du sport </w:t>
      </w:r>
      <w:r>
        <w:rPr>
          <w:rFonts w:ascii="Cambria" w:hAnsi="Cambria"/>
        </w:rPr>
        <w:t>de Polynésie française, ou CNDS, constituée de représentants du Pays, de l’Etat et du mouvement sportif, est chargé d’émettre un avis, en fonction de critères objectifs,</w:t>
      </w:r>
      <w:r w:rsidRPr="00F16C8E">
        <w:rPr>
          <w:rFonts w:ascii="Cambria" w:hAnsi="Cambria"/>
        </w:rPr>
        <w:t xml:space="preserve"> </w:t>
      </w:r>
      <w:r>
        <w:rPr>
          <w:rFonts w:ascii="Cambria" w:hAnsi="Cambria"/>
        </w:rPr>
        <w:t>sur les demandes de subventions des associations sportives. Pour les associations de jeunesse, une commission similaire est également en place, la Commission territoriale de la jeunesse et de l’éducation populaire ou CTJEP, constituée de représentants du Pays, de l’Etat et du mouvement de jeunesse.</w:t>
      </w:r>
    </w:p>
    <w:p w14:paraId="21BE83F5" w14:textId="77777777" w:rsidR="00A324C5" w:rsidRDefault="00A324C5" w:rsidP="00A324C5">
      <w:pPr>
        <w:jc w:val="both"/>
        <w:rPr>
          <w:rFonts w:ascii="Cambria" w:hAnsi="Cambria"/>
        </w:rPr>
      </w:pPr>
    </w:p>
    <w:p w14:paraId="458BF87A" w14:textId="3FAD908E" w:rsidR="00A324C5" w:rsidRDefault="005F1772" w:rsidP="00A324C5">
      <w:pPr>
        <w:jc w:val="both"/>
        <w:rPr>
          <w:rFonts w:ascii="Cambria" w:hAnsi="Cambria"/>
        </w:rPr>
      </w:pPr>
      <w:r>
        <w:rPr>
          <w:rFonts w:ascii="Cambria" w:hAnsi="Cambria"/>
        </w:rPr>
        <w:t>La décision finale d’octroi</w:t>
      </w:r>
      <w:r w:rsidR="00A324C5">
        <w:rPr>
          <w:rFonts w:ascii="Cambria" w:hAnsi="Cambria"/>
        </w:rPr>
        <w:t xml:space="preserve"> des subventions relève, in fine, du </w:t>
      </w:r>
      <w:r>
        <w:rPr>
          <w:rFonts w:ascii="Cambria" w:hAnsi="Cambria"/>
        </w:rPr>
        <w:t>C</w:t>
      </w:r>
      <w:r w:rsidR="00A324C5">
        <w:rPr>
          <w:rFonts w:ascii="Cambria" w:hAnsi="Cambria"/>
        </w:rPr>
        <w:t xml:space="preserve">onseil des ministres, après avis de la Commission de contrôle financier et budgétaire pour les subventions supérieures à 500 000 </w:t>
      </w:r>
      <w:proofErr w:type="spellStart"/>
      <w:r>
        <w:rPr>
          <w:rFonts w:ascii="Cambria" w:hAnsi="Cambria"/>
        </w:rPr>
        <w:t>Fcfp</w:t>
      </w:r>
      <w:proofErr w:type="spellEnd"/>
      <w:r w:rsidR="00A324C5">
        <w:rPr>
          <w:rFonts w:ascii="Cambria" w:hAnsi="Cambria"/>
        </w:rPr>
        <w:t>.</w:t>
      </w:r>
      <w:r>
        <w:rPr>
          <w:rFonts w:ascii="Cambria" w:hAnsi="Cambria"/>
        </w:rPr>
        <w:t xml:space="preserve"> </w:t>
      </w:r>
      <w:r w:rsidR="00A324C5">
        <w:rPr>
          <w:rFonts w:ascii="Cambria" w:hAnsi="Cambria"/>
        </w:rPr>
        <w:t xml:space="preserve">Le </w:t>
      </w:r>
      <w:r>
        <w:rPr>
          <w:rFonts w:ascii="Cambria" w:hAnsi="Cambria"/>
        </w:rPr>
        <w:t>C</w:t>
      </w:r>
      <w:r w:rsidR="00A324C5">
        <w:rPr>
          <w:rFonts w:ascii="Cambria" w:hAnsi="Cambria"/>
        </w:rPr>
        <w:t xml:space="preserve">onseil des ministres a ainsi étudié </w:t>
      </w:r>
      <w:r>
        <w:rPr>
          <w:rFonts w:ascii="Cambria" w:hAnsi="Cambria"/>
        </w:rPr>
        <w:t xml:space="preserve">ce mercredi </w:t>
      </w:r>
      <w:r w:rsidR="00A324C5">
        <w:rPr>
          <w:rFonts w:ascii="Cambria" w:hAnsi="Cambria"/>
        </w:rPr>
        <w:t>34 subventions en faveur d’associations sportives et de jeunesse.</w:t>
      </w:r>
    </w:p>
    <w:p w14:paraId="2586232C" w14:textId="77777777" w:rsidR="00A324C5" w:rsidRDefault="00A324C5" w:rsidP="00A324C5">
      <w:pPr>
        <w:jc w:val="both"/>
        <w:rPr>
          <w:rFonts w:ascii="Cambria" w:hAnsi="Cambria"/>
        </w:rPr>
      </w:pPr>
    </w:p>
    <w:p w14:paraId="1A2FE9AF" w14:textId="4021A915" w:rsidR="00A324C5" w:rsidRPr="00867FF4" w:rsidRDefault="00A324C5" w:rsidP="00A324C5">
      <w:pPr>
        <w:jc w:val="both"/>
        <w:rPr>
          <w:rFonts w:ascii="Cambria" w:hAnsi="Cambria"/>
        </w:rPr>
      </w:pPr>
      <w:r>
        <w:rPr>
          <w:rFonts w:ascii="Cambria" w:hAnsi="Cambria"/>
        </w:rPr>
        <w:t>Le Pays a validé</w:t>
      </w:r>
      <w:r w:rsidR="005F1772">
        <w:rPr>
          <w:rFonts w:ascii="Cambria" w:hAnsi="Cambria"/>
        </w:rPr>
        <w:t>,</w:t>
      </w:r>
      <w:r>
        <w:rPr>
          <w:rFonts w:ascii="Cambria" w:hAnsi="Cambria"/>
        </w:rPr>
        <w:t xml:space="preserve"> pour 23 associations sportives</w:t>
      </w:r>
      <w:r w:rsidR="005F1772">
        <w:rPr>
          <w:rFonts w:ascii="Cambria" w:hAnsi="Cambria"/>
        </w:rPr>
        <w:t>,</w:t>
      </w:r>
      <w:r>
        <w:rPr>
          <w:rFonts w:ascii="Cambria" w:hAnsi="Cambria"/>
        </w:rPr>
        <w:t xml:space="preserve"> un montant global de 6 695 500 </w:t>
      </w:r>
      <w:proofErr w:type="spellStart"/>
      <w:r w:rsidR="005F1772">
        <w:rPr>
          <w:rFonts w:ascii="Cambria" w:hAnsi="Cambria"/>
        </w:rPr>
        <w:t>Fcfp</w:t>
      </w:r>
      <w:proofErr w:type="spellEnd"/>
      <w:r w:rsidR="005F1772">
        <w:rPr>
          <w:rFonts w:ascii="Cambria" w:hAnsi="Cambria"/>
        </w:rPr>
        <w:t xml:space="preserve"> </w:t>
      </w:r>
      <w:r>
        <w:rPr>
          <w:rFonts w:ascii="Cambria" w:hAnsi="Cambria"/>
        </w:rPr>
        <w:t>pour le finance</w:t>
      </w:r>
      <w:r w:rsidR="005F1772">
        <w:rPr>
          <w:rFonts w:ascii="Cambria" w:hAnsi="Cambria"/>
        </w:rPr>
        <w:t>ment de leur activité générale</w:t>
      </w:r>
      <w:r>
        <w:rPr>
          <w:rFonts w:ascii="Cambria" w:hAnsi="Cambria"/>
        </w:rPr>
        <w:t>.</w:t>
      </w:r>
      <w:r w:rsidR="005F1772">
        <w:rPr>
          <w:rFonts w:ascii="Cambria" w:hAnsi="Cambria"/>
        </w:rPr>
        <w:t xml:space="preserve"> </w:t>
      </w:r>
      <w:r>
        <w:rPr>
          <w:rFonts w:ascii="Cambria" w:hAnsi="Cambria"/>
        </w:rPr>
        <w:t xml:space="preserve">17 025 000 </w:t>
      </w:r>
      <w:proofErr w:type="spellStart"/>
      <w:r w:rsidR="005F1772">
        <w:rPr>
          <w:rFonts w:ascii="Cambria" w:hAnsi="Cambria"/>
        </w:rPr>
        <w:t>Fcfp</w:t>
      </w:r>
      <w:proofErr w:type="spellEnd"/>
      <w:r>
        <w:rPr>
          <w:rFonts w:ascii="Cambria" w:hAnsi="Cambria"/>
        </w:rPr>
        <w:t xml:space="preserve"> ont été répartis entre les associations de jeunesse suivantes : Te </w:t>
      </w:r>
      <w:proofErr w:type="spellStart"/>
      <w:r>
        <w:rPr>
          <w:rFonts w:ascii="Cambria" w:hAnsi="Cambria"/>
        </w:rPr>
        <w:t>tama</w:t>
      </w:r>
      <w:proofErr w:type="spellEnd"/>
      <w:r>
        <w:rPr>
          <w:rFonts w:ascii="Cambria" w:hAnsi="Cambria"/>
        </w:rPr>
        <w:t xml:space="preserve"> </w:t>
      </w:r>
      <w:proofErr w:type="spellStart"/>
      <w:r>
        <w:rPr>
          <w:rFonts w:ascii="Cambria" w:hAnsi="Cambria"/>
        </w:rPr>
        <w:t>tia</w:t>
      </w:r>
      <w:proofErr w:type="spellEnd"/>
      <w:r>
        <w:rPr>
          <w:rFonts w:ascii="Cambria" w:hAnsi="Cambria"/>
        </w:rPr>
        <w:t xml:space="preserve"> hou, CPED, UCJG de l’Ecole protestante </w:t>
      </w:r>
      <w:proofErr w:type="spellStart"/>
      <w:r>
        <w:rPr>
          <w:rFonts w:ascii="Cambria" w:hAnsi="Cambria"/>
        </w:rPr>
        <w:t>maohi</w:t>
      </w:r>
      <w:proofErr w:type="spellEnd"/>
      <w:r>
        <w:rPr>
          <w:rFonts w:ascii="Cambria" w:hAnsi="Cambria"/>
        </w:rPr>
        <w:t xml:space="preserve">, les CEMEA et </w:t>
      </w:r>
      <w:proofErr w:type="spellStart"/>
      <w:r>
        <w:rPr>
          <w:rFonts w:ascii="Cambria" w:hAnsi="Cambria"/>
        </w:rPr>
        <w:t>Faa</w:t>
      </w:r>
      <w:proofErr w:type="spellEnd"/>
      <w:r>
        <w:rPr>
          <w:rFonts w:ascii="Cambria" w:hAnsi="Cambria"/>
        </w:rPr>
        <w:t xml:space="preserve"> rupe </w:t>
      </w:r>
      <w:proofErr w:type="spellStart"/>
      <w:r>
        <w:rPr>
          <w:rFonts w:ascii="Cambria" w:hAnsi="Cambria"/>
        </w:rPr>
        <w:t>rupe</w:t>
      </w:r>
      <w:proofErr w:type="spellEnd"/>
      <w:r>
        <w:rPr>
          <w:rFonts w:ascii="Cambria" w:hAnsi="Cambria"/>
        </w:rPr>
        <w:t>.</w:t>
      </w:r>
      <w:r w:rsidR="005F1772">
        <w:rPr>
          <w:rFonts w:ascii="Cambria" w:hAnsi="Cambria"/>
        </w:rPr>
        <w:t xml:space="preserve"> </w:t>
      </w:r>
      <w:r>
        <w:rPr>
          <w:rFonts w:ascii="Cambria" w:hAnsi="Cambria"/>
        </w:rPr>
        <w:t>Enfin, 5 000 000 ont été attribués pour l’organisation de trois grandes manifestations, à savoir : le 5</w:t>
      </w:r>
      <w:r w:rsidRPr="005707A4">
        <w:rPr>
          <w:rFonts w:ascii="Cambria" w:hAnsi="Cambria"/>
          <w:vertAlign w:val="superscript"/>
        </w:rPr>
        <w:t>ème</w:t>
      </w:r>
      <w:r>
        <w:rPr>
          <w:rFonts w:ascii="Cambria" w:hAnsi="Cambria"/>
        </w:rPr>
        <w:t xml:space="preserve"> tournoi international de badminton, le raid des </w:t>
      </w:r>
      <w:proofErr w:type="spellStart"/>
      <w:r>
        <w:rPr>
          <w:rFonts w:ascii="Cambria" w:hAnsi="Cambria"/>
        </w:rPr>
        <w:t>vahine</w:t>
      </w:r>
      <w:proofErr w:type="spellEnd"/>
      <w:r>
        <w:rPr>
          <w:rFonts w:ascii="Cambria" w:hAnsi="Cambria"/>
        </w:rPr>
        <w:t xml:space="preserve"> et le raid litchis.</w:t>
      </w:r>
      <w:r w:rsidR="005F1772">
        <w:rPr>
          <w:rFonts w:ascii="Cambria" w:hAnsi="Cambria"/>
        </w:rPr>
        <w:t xml:space="preserve"> </w:t>
      </w:r>
      <w:r>
        <w:rPr>
          <w:rFonts w:ascii="Cambria" w:hAnsi="Cambria"/>
        </w:rPr>
        <w:t xml:space="preserve">Plus de 200 dossiers de subventions doivent encore faire l’objet d’un passage en </w:t>
      </w:r>
      <w:r w:rsidR="005F1772">
        <w:rPr>
          <w:rFonts w:ascii="Cambria" w:hAnsi="Cambria"/>
        </w:rPr>
        <w:t>C</w:t>
      </w:r>
      <w:r>
        <w:rPr>
          <w:rFonts w:ascii="Cambria" w:hAnsi="Cambria"/>
        </w:rPr>
        <w:t>onseil des ministres d’ici la fin de l’année.</w:t>
      </w:r>
    </w:p>
    <w:p w14:paraId="3B24AB87" w14:textId="77777777" w:rsidR="00A324C5" w:rsidRPr="00544BEA" w:rsidRDefault="00A324C5" w:rsidP="00A324C5">
      <w:pPr>
        <w:pStyle w:val="Default"/>
        <w:jc w:val="both"/>
        <w:rPr>
          <w:rStyle w:val="apple-converted-space"/>
          <w:rFonts w:ascii="Cambria" w:hAnsi="Cambria" w:cs="Helvetica"/>
          <w:color w:val="auto"/>
          <w:shd w:val="clear" w:color="auto" w:fill="FFFFFF"/>
        </w:rPr>
      </w:pPr>
    </w:p>
    <w:p w14:paraId="7301BF9C" w14:textId="77777777" w:rsidR="00544BEA" w:rsidRPr="00544BEA" w:rsidRDefault="00544BEA" w:rsidP="00A324C5">
      <w:pPr>
        <w:pStyle w:val="Default"/>
        <w:jc w:val="both"/>
        <w:rPr>
          <w:rStyle w:val="apple-converted-space"/>
          <w:rFonts w:ascii="Cambria" w:hAnsi="Cambria" w:cs="Helvetica"/>
          <w:color w:val="auto"/>
          <w:shd w:val="clear" w:color="auto" w:fill="FFFFFF"/>
        </w:rPr>
      </w:pPr>
    </w:p>
    <w:p w14:paraId="20CB5386" w14:textId="77777777" w:rsidR="00544BEA" w:rsidRDefault="00544BEA" w:rsidP="00544BEA">
      <w:pPr>
        <w:jc w:val="both"/>
        <w:rPr>
          <w:rFonts w:ascii="Cambria" w:hAnsi="Cambria"/>
          <w:b/>
        </w:rPr>
      </w:pPr>
      <w:r w:rsidRPr="00544BEA">
        <w:rPr>
          <w:rFonts w:ascii="Cambria" w:hAnsi="Cambria"/>
          <w:b/>
        </w:rPr>
        <w:t xml:space="preserve">Organisation du Tahiti </w:t>
      </w:r>
      <w:proofErr w:type="spellStart"/>
      <w:r w:rsidRPr="00544BEA">
        <w:rPr>
          <w:rFonts w:ascii="Cambria" w:hAnsi="Cambria"/>
          <w:b/>
        </w:rPr>
        <w:t>Swimming</w:t>
      </w:r>
      <w:proofErr w:type="spellEnd"/>
      <w:r w:rsidRPr="00544BEA">
        <w:rPr>
          <w:rFonts w:ascii="Cambria" w:hAnsi="Cambria"/>
          <w:b/>
        </w:rPr>
        <w:t xml:space="preserve"> </w:t>
      </w:r>
      <w:proofErr w:type="spellStart"/>
      <w:r w:rsidRPr="00544BEA">
        <w:rPr>
          <w:rFonts w:ascii="Cambria" w:hAnsi="Cambria"/>
          <w:b/>
        </w:rPr>
        <w:t>Experience</w:t>
      </w:r>
      <w:proofErr w:type="spellEnd"/>
      <w:r w:rsidRPr="00544BEA">
        <w:rPr>
          <w:rFonts w:ascii="Cambria" w:hAnsi="Cambria"/>
          <w:b/>
        </w:rPr>
        <w:t xml:space="preserve"> 2016</w:t>
      </w:r>
    </w:p>
    <w:p w14:paraId="48FEF56F" w14:textId="77777777" w:rsidR="00544BEA" w:rsidRPr="00544BEA" w:rsidRDefault="00544BEA" w:rsidP="00544BEA">
      <w:pPr>
        <w:jc w:val="both"/>
        <w:rPr>
          <w:rFonts w:ascii="Cambria" w:hAnsi="Cambria"/>
          <w:b/>
        </w:rPr>
      </w:pPr>
    </w:p>
    <w:p w14:paraId="334FF095" w14:textId="62754748" w:rsidR="00544BEA" w:rsidRDefault="00544BEA" w:rsidP="00544BEA">
      <w:pPr>
        <w:jc w:val="both"/>
        <w:rPr>
          <w:rFonts w:ascii="Cambria" w:hAnsi="Cambria"/>
        </w:rPr>
      </w:pPr>
      <w:r w:rsidRPr="00544BEA">
        <w:rPr>
          <w:rFonts w:ascii="Cambria" w:hAnsi="Cambria"/>
        </w:rPr>
        <w:t xml:space="preserve">Le ministère de la </w:t>
      </w:r>
      <w:r w:rsidR="005F1772">
        <w:rPr>
          <w:rFonts w:ascii="Cambria" w:hAnsi="Cambria"/>
        </w:rPr>
        <w:t>J</w:t>
      </w:r>
      <w:r w:rsidRPr="00544BEA">
        <w:rPr>
          <w:rFonts w:ascii="Cambria" w:hAnsi="Cambria"/>
        </w:rPr>
        <w:t xml:space="preserve">eunesse et des sports a proposé au Conseil des </w:t>
      </w:r>
      <w:r w:rsidR="005F1772">
        <w:rPr>
          <w:rFonts w:ascii="Cambria" w:hAnsi="Cambria"/>
        </w:rPr>
        <w:t>m</w:t>
      </w:r>
      <w:r w:rsidRPr="00544BEA">
        <w:rPr>
          <w:rFonts w:ascii="Cambria" w:hAnsi="Cambria"/>
        </w:rPr>
        <w:t xml:space="preserve">inistres d’inscrire au calendrier 2016 des grandes manifestations sportives, le « Tahiti </w:t>
      </w:r>
      <w:proofErr w:type="spellStart"/>
      <w:r w:rsidRPr="00544BEA">
        <w:rPr>
          <w:rFonts w:ascii="Cambria" w:hAnsi="Cambria"/>
        </w:rPr>
        <w:t>Swimming</w:t>
      </w:r>
      <w:proofErr w:type="spellEnd"/>
      <w:r w:rsidRPr="00544BEA">
        <w:rPr>
          <w:rFonts w:ascii="Cambria" w:hAnsi="Cambria"/>
        </w:rPr>
        <w:t xml:space="preserve"> </w:t>
      </w:r>
      <w:proofErr w:type="spellStart"/>
      <w:r w:rsidRPr="00544BEA">
        <w:rPr>
          <w:rFonts w:ascii="Cambria" w:hAnsi="Cambria"/>
        </w:rPr>
        <w:t>Experience</w:t>
      </w:r>
      <w:proofErr w:type="spellEnd"/>
      <w:r w:rsidRPr="00544BEA">
        <w:rPr>
          <w:rFonts w:ascii="Cambria" w:hAnsi="Cambria"/>
        </w:rPr>
        <w:t> »</w:t>
      </w:r>
      <w:r w:rsidR="005F1772">
        <w:rPr>
          <w:rFonts w:ascii="Cambria" w:hAnsi="Cambria"/>
        </w:rPr>
        <w:t>,</w:t>
      </w:r>
      <w:r w:rsidRPr="00544BEA">
        <w:rPr>
          <w:rFonts w:ascii="Cambria" w:hAnsi="Cambria"/>
        </w:rPr>
        <w:t xml:space="preserve"> qui se déroulera du 5 au 16 octobre prochains. La Fédération Tahitienne de Natation </w:t>
      </w:r>
      <w:r w:rsidR="005F1772">
        <w:rPr>
          <w:rFonts w:ascii="Cambria" w:hAnsi="Cambria"/>
        </w:rPr>
        <w:t xml:space="preserve">(FTN) </w:t>
      </w:r>
      <w:r w:rsidRPr="00544BEA">
        <w:rPr>
          <w:rFonts w:ascii="Cambria" w:hAnsi="Cambria"/>
        </w:rPr>
        <w:t>sollicite en effet le soutien du Pays pour l’organisation de la venue en Polynésie fra</w:t>
      </w:r>
      <w:r>
        <w:rPr>
          <w:rFonts w:ascii="Cambria" w:hAnsi="Cambria"/>
        </w:rPr>
        <w:t>nçaise de 9 nageurs olympiques.</w:t>
      </w:r>
    </w:p>
    <w:p w14:paraId="20404372" w14:textId="77777777" w:rsidR="00544BEA" w:rsidRPr="00544BEA" w:rsidRDefault="00544BEA" w:rsidP="00544BEA">
      <w:pPr>
        <w:jc w:val="both"/>
        <w:rPr>
          <w:rFonts w:ascii="Cambria" w:hAnsi="Cambria"/>
        </w:rPr>
      </w:pPr>
    </w:p>
    <w:p w14:paraId="1CCD40C0" w14:textId="7DA067C6" w:rsidR="00544BEA" w:rsidRDefault="00544BEA" w:rsidP="00544BEA">
      <w:pPr>
        <w:jc w:val="both"/>
        <w:rPr>
          <w:rFonts w:ascii="Cambria" w:hAnsi="Cambria"/>
        </w:rPr>
      </w:pPr>
      <w:r w:rsidRPr="00544BEA">
        <w:rPr>
          <w:rFonts w:ascii="Cambria" w:hAnsi="Cambria"/>
        </w:rPr>
        <w:t xml:space="preserve">Au regard des intérêts sportifs, médiatiques et promotionnels de la discipline, la FTN a construit un projet autour d’intérêts communs répondant </w:t>
      </w:r>
      <w:r w:rsidR="005F1772">
        <w:rPr>
          <w:rFonts w:ascii="Cambria" w:hAnsi="Cambria"/>
        </w:rPr>
        <w:t>à la</w:t>
      </w:r>
      <w:r w:rsidRPr="00544BEA">
        <w:rPr>
          <w:rFonts w:ascii="Cambria" w:hAnsi="Cambria"/>
        </w:rPr>
        <w:t xml:space="preserve"> politique</w:t>
      </w:r>
      <w:r w:rsidR="00A97B18">
        <w:rPr>
          <w:rFonts w:ascii="Cambria" w:hAnsi="Cambria"/>
        </w:rPr>
        <w:t xml:space="preserve"> du Pays avec des thèmes comme </w:t>
      </w:r>
      <w:r w:rsidRPr="00544BEA">
        <w:rPr>
          <w:rFonts w:ascii="Cambria" w:hAnsi="Cambria"/>
        </w:rPr>
        <w:t>le développement et la promotion de la pratique et des activités sportives, la cohésion sociale par le sport</w:t>
      </w:r>
      <w:r w:rsidR="00A97B18">
        <w:rPr>
          <w:rFonts w:ascii="Cambria" w:hAnsi="Cambria"/>
        </w:rPr>
        <w:t>,</w:t>
      </w:r>
      <w:r w:rsidRPr="00544BEA">
        <w:rPr>
          <w:rFonts w:ascii="Cambria" w:hAnsi="Cambria"/>
        </w:rPr>
        <w:t xml:space="preserve"> et la promotion touristique favorisant la destination de la Polynésie française. Pour la partie sportive, afin de diversifier les activités proposées aux licenciés, la FTN </w:t>
      </w:r>
      <w:r w:rsidR="00A97B18">
        <w:rPr>
          <w:rFonts w:ascii="Cambria" w:hAnsi="Cambria"/>
        </w:rPr>
        <w:t xml:space="preserve">va </w:t>
      </w:r>
      <w:r w:rsidRPr="00544BEA">
        <w:rPr>
          <w:rFonts w:ascii="Cambria" w:hAnsi="Cambria"/>
        </w:rPr>
        <w:t>innove</w:t>
      </w:r>
      <w:r w:rsidR="00A97B18">
        <w:rPr>
          <w:rFonts w:ascii="Cambria" w:hAnsi="Cambria"/>
        </w:rPr>
        <w:t>r</w:t>
      </w:r>
      <w:r w:rsidRPr="00544BEA">
        <w:rPr>
          <w:rFonts w:ascii="Cambria" w:hAnsi="Cambria"/>
        </w:rPr>
        <w:t xml:space="preserve"> cette année en mettant en place un programme de développement d’activités en eau libre. Ainsi, la compétition populaire </w:t>
      </w:r>
      <w:r w:rsidRPr="00544BEA">
        <w:rPr>
          <w:rFonts w:ascii="Cambria" w:hAnsi="Cambria"/>
        </w:rPr>
        <w:lastRenderedPageBreak/>
        <w:t xml:space="preserve">avec les nageurs olympiques dans les eaux polynésiennes, va largement contribuer au développement de cette discipline. </w:t>
      </w:r>
    </w:p>
    <w:p w14:paraId="5C684295" w14:textId="77777777" w:rsidR="00544BEA" w:rsidRPr="00544BEA" w:rsidRDefault="00544BEA" w:rsidP="00544BEA">
      <w:pPr>
        <w:jc w:val="both"/>
        <w:rPr>
          <w:rFonts w:ascii="Cambria" w:hAnsi="Cambria"/>
        </w:rPr>
      </w:pPr>
    </w:p>
    <w:p w14:paraId="06361B3D" w14:textId="0C83CC20" w:rsidR="00544BEA" w:rsidRDefault="00544BEA" w:rsidP="00544BEA">
      <w:pPr>
        <w:jc w:val="both"/>
        <w:rPr>
          <w:rFonts w:ascii="Cambria" w:hAnsi="Cambria"/>
        </w:rPr>
      </w:pPr>
      <w:r w:rsidRPr="00544BEA">
        <w:rPr>
          <w:rFonts w:ascii="Cambria" w:hAnsi="Cambria"/>
        </w:rPr>
        <w:t xml:space="preserve">Sur le plan social, une journée de Master-Class animée par les nageurs olympiques sera organisée avec des enfants de quartiers ayant suivi le programme du PISAN </w:t>
      </w:r>
      <w:r w:rsidRPr="00A97B18">
        <w:rPr>
          <w:rFonts w:ascii="Cambria" w:hAnsi="Cambria"/>
        </w:rPr>
        <w:t>(Programme d’insertion sociale par les activités de natation)</w:t>
      </w:r>
      <w:r w:rsidR="00A97B18" w:rsidRPr="00A97B18">
        <w:rPr>
          <w:rFonts w:ascii="Cambria" w:hAnsi="Cambria"/>
        </w:rPr>
        <w:t xml:space="preserve"> </w:t>
      </w:r>
      <w:r w:rsidR="00A97B18">
        <w:rPr>
          <w:rFonts w:ascii="Cambria" w:hAnsi="Cambria"/>
        </w:rPr>
        <w:t xml:space="preserve">et </w:t>
      </w:r>
      <w:r w:rsidRPr="00544BEA">
        <w:rPr>
          <w:rFonts w:ascii="Cambria" w:hAnsi="Cambria"/>
        </w:rPr>
        <w:t xml:space="preserve">des enfants de SOS Village de </w:t>
      </w:r>
      <w:proofErr w:type="spellStart"/>
      <w:r w:rsidRPr="00544BEA">
        <w:rPr>
          <w:rFonts w:ascii="Cambria" w:hAnsi="Cambria"/>
        </w:rPr>
        <w:t>Papara</w:t>
      </w:r>
      <w:proofErr w:type="spellEnd"/>
      <w:r w:rsidRPr="00544BEA">
        <w:rPr>
          <w:rFonts w:ascii="Cambria" w:hAnsi="Cambria"/>
        </w:rPr>
        <w:t>.</w:t>
      </w:r>
      <w:r w:rsidR="00A97B18">
        <w:rPr>
          <w:rFonts w:ascii="Cambria" w:hAnsi="Cambria"/>
        </w:rPr>
        <w:t xml:space="preserve"> Neuf</w:t>
      </w:r>
      <w:r w:rsidRPr="00544BEA">
        <w:rPr>
          <w:rFonts w:ascii="Cambria" w:hAnsi="Cambria"/>
        </w:rPr>
        <w:t xml:space="preserve"> nageurs olympiques seront présents en Polynésie </w:t>
      </w:r>
      <w:r w:rsidR="00A97B18">
        <w:rPr>
          <w:rFonts w:ascii="Cambria" w:hAnsi="Cambria"/>
        </w:rPr>
        <w:t>f</w:t>
      </w:r>
      <w:r w:rsidRPr="00544BEA">
        <w:rPr>
          <w:rFonts w:ascii="Cambria" w:hAnsi="Cambria"/>
        </w:rPr>
        <w:t xml:space="preserve">rançaise du 5 au 16 octobre </w:t>
      </w:r>
      <w:r w:rsidR="00A97B18">
        <w:rPr>
          <w:rFonts w:ascii="Cambria" w:hAnsi="Cambria"/>
        </w:rPr>
        <w:t>prochains</w:t>
      </w:r>
      <w:r w:rsidRPr="00544BEA">
        <w:rPr>
          <w:rFonts w:ascii="Cambria" w:hAnsi="Cambria"/>
        </w:rPr>
        <w:t xml:space="preserve">. Afin d’optimiser </w:t>
      </w:r>
      <w:r w:rsidR="00276450">
        <w:rPr>
          <w:rFonts w:ascii="Cambria" w:hAnsi="Cambria"/>
        </w:rPr>
        <w:t xml:space="preserve">leur présence sur le Fenua, un </w:t>
      </w:r>
      <w:r w:rsidRPr="00544BEA">
        <w:rPr>
          <w:rFonts w:ascii="Cambria" w:hAnsi="Cambria"/>
        </w:rPr>
        <w:t>projet de programme a été élaboré autour du concept : " Un lieu, une rencontre.</w:t>
      </w:r>
      <w:r w:rsidR="00A97B18">
        <w:rPr>
          <w:rFonts w:ascii="Cambria" w:hAnsi="Cambria"/>
        </w:rPr>
        <w:t>..". Ce</w:t>
      </w:r>
      <w:r w:rsidRPr="00544BEA">
        <w:rPr>
          <w:rFonts w:ascii="Cambria" w:hAnsi="Cambria"/>
        </w:rPr>
        <w:t xml:space="preserve"> concept </w:t>
      </w:r>
      <w:r w:rsidR="00A97B18">
        <w:rPr>
          <w:rFonts w:ascii="Cambria" w:hAnsi="Cambria"/>
        </w:rPr>
        <w:t>sera</w:t>
      </w:r>
      <w:r w:rsidRPr="00544BEA">
        <w:rPr>
          <w:rFonts w:ascii="Cambria" w:hAnsi="Cambria"/>
        </w:rPr>
        <w:t xml:space="preserve"> décliné dans les dimensions sportive, populaire, social et touristique. Ce programme </w:t>
      </w:r>
      <w:r w:rsidR="00A97B18">
        <w:rPr>
          <w:rFonts w:ascii="Cambria" w:hAnsi="Cambria"/>
        </w:rPr>
        <w:t xml:space="preserve">va mettre </w:t>
      </w:r>
      <w:r w:rsidRPr="00544BEA">
        <w:rPr>
          <w:rFonts w:ascii="Cambria" w:hAnsi="Cambria"/>
        </w:rPr>
        <w:t>en scène des nageurs olympiques dans l’environnement polynésien. Il transporte</w:t>
      </w:r>
      <w:r w:rsidR="00A97B18">
        <w:rPr>
          <w:rFonts w:ascii="Cambria" w:hAnsi="Cambria"/>
        </w:rPr>
        <w:t>ra</w:t>
      </w:r>
      <w:r w:rsidRPr="00544BEA">
        <w:rPr>
          <w:rFonts w:ascii="Cambria" w:hAnsi="Cambria"/>
        </w:rPr>
        <w:t xml:space="preserve"> les invités à la découverte de lieux mythiques, </w:t>
      </w:r>
      <w:r w:rsidR="00A97B18">
        <w:rPr>
          <w:rFonts w:ascii="Cambria" w:hAnsi="Cambria"/>
        </w:rPr>
        <w:t>suscitant</w:t>
      </w:r>
      <w:r w:rsidRPr="00544BEA">
        <w:rPr>
          <w:rFonts w:ascii="Cambria" w:hAnsi="Cambria"/>
        </w:rPr>
        <w:t xml:space="preserve"> des rencontres exceptionnelles avec des hommes qui font la richesse culturelle</w:t>
      </w:r>
      <w:r w:rsidR="00A97B18">
        <w:rPr>
          <w:rFonts w:ascii="Cambria" w:hAnsi="Cambria"/>
        </w:rPr>
        <w:t xml:space="preserve"> et</w:t>
      </w:r>
      <w:r w:rsidRPr="00544BEA">
        <w:rPr>
          <w:rFonts w:ascii="Cambria" w:hAnsi="Cambria"/>
        </w:rPr>
        <w:t xml:space="preserve"> sportive du Pays.</w:t>
      </w:r>
    </w:p>
    <w:p w14:paraId="26CF23A0" w14:textId="77777777" w:rsidR="00544BEA" w:rsidRPr="00544BEA" w:rsidRDefault="00544BEA" w:rsidP="00544BEA">
      <w:pPr>
        <w:jc w:val="both"/>
        <w:rPr>
          <w:rFonts w:ascii="Cambria" w:hAnsi="Cambria"/>
        </w:rPr>
      </w:pPr>
    </w:p>
    <w:p w14:paraId="26C4B443" w14:textId="1D6A3AE6" w:rsidR="00544BEA" w:rsidRPr="00544BEA" w:rsidRDefault="00A97B18" w:rsidP="00544BEA">
      <w:pPr>
        <w:jc w:val="both"/>
        <w:rPr>
          <w:rFonts w:ascii="Cambria" w:hAnsi="Cambria"/>
        </w:rPr>
      </w:pPr>
      <w:r w:rsidRPr="00A97B18">
        <w:rPr>
          <w:rFonts w:ascii="Cambria" w:hAnsi="Cambria"/>
        </w:rPr>
        <w:t>Ce programme</w:t>
      </w:r>
      <w:r w:rsidR="00544BEA" w:rsidRPr="00A97B18">
        <w:rPr>
          <w:rFonts w:ascii="Cambria" w:hAnsi="Cambria"/>
        </w:rPr>
        <w:t xml:space="preserve"> prévoit également des échanges avec des enfants de milieux défavorisés et le grand public polynésien. Le programme est construit de telle manière que les invités, futurs</w:t>
      </w:r>
      <w:r w:rsidRPr="00A97B18">
        <w:rPr>
          <w:rFonts w:ascii="Cambria" w:hAnsi="Cambria"/>
        </w:rPr>
        <w:t xml:space="preserve"> ambassadeurs de la Polynésie, </w:t>
      </w:r>
      <w:r w:rsidR="00544BEA" w:rsidRPr="00A97B18">
        <w:rPr>
          <w:rFonts w:ascii="Cambria" w:hAnsi="Cambria"/>
        </w:rPr>
        <w:t>puissent à leur retour, raconter une histoire belle et forte, en ayant vécu des expériences uniques et authentiques en Polynésie.</w:t>
      </w:r>
      <w:r w:rsidRPr="00A97B18">
        <w:rPr>
          <w:rFonts w:ascii="Cambria" w:hAnsi="Cambria"/>
        </w:rPr>
        <w:t xml:space="preserve"> Il constitue</w:t>
      </w:r>
      <w:r w:rsidR="00544BEA" w:rsidRPr="00544BEA">
        <w:rPr>
          <w:rFonts w:ascii="Cambria" w:hAnsi="Cambria"/>
        </w:rPr>
        <w:t xml:space="preserve"> une aubaine pour la promotion du Pays.</w:t>
      </w:r>
    </w:p>
    <w:p w14:paraId="17817FB8" w14:textId="77777777" w:rsidR="00276450" w:rsidRDefault="00276450" w:rsidP="002D308A">
      <w:pPr>
        <w:widowControl w:val="0"/>
        <w:autoSpaceDE w:val="0"/>
        <w:autoSpaceDN w:val="0"/>
        <w:adjustRightInd w:val="0"/>
        <w:jc w:val="both"/>
        <w:rPr>
          <w:rFonts w:ascii="Cambria" w:hAnsi="Cambria" w:cs="Helvetica"/>
          <w:b/>
          <w:bCs/>
        </w:rPr>
      </w:pPr>
    </w:p>
    <w:p w14:paraId="5E0D7A1A" w14:textId="77777777" w:rsidR="00276450" w:rsidRDefault="00276450" w:rsidP="002D308A">
      <w:pPr>
        <w:widowControl w:val="0"/>
        <w:autoSpaceDE w:val="0"/>
        <w:autoSpaceDN w:val="0"/>
        <w:adjustRightInd w:val="0"/>
        <w:jc w:val="both"/>
        <w:rPr>
          <w:rFonts w:ascii="Cambria" w:hAnsi="Cambria" w:cs="Helvetica"/>
          <w:b/>
          <w:bCs/>
        </w:rPr>
      </w:pPr>
    </w:p>
    <w:p w14:paraId="5D4F8DA0" w14:textId="4E906ED7" w:rsidR="002D308A" w:rsidRPr="002D308A" w:rsidRDefault="002D308A" w:rsidP="002D308A">
      <w:pPr>
        <w:widowControl w:val="0"/>
        <w:autoSpaceDE w:val="0"/>
        <w:autoSpaceDN w:val="0"/>
        <w:adjustRightInd w:val="0"/>
        <w:jc w:val="both"/>
        <w:rPr>
          <w:rFonts w:ascii="Cambria" w:hAnsi="Cambria" w:cs="Helvetica"/>
          <w:b/>
          <w:bCs/>
        </w:rPr>
      </w:pPr>
      <w:r w:rsidRPr="002D308A">
        <w:rPr>
          <w:rFonts w:ascii="Cambria" w:hAnsi="Cambria" w:cs="Helvetica"/>
          <w:b/>
          <w:bCs/>
        </w:rPr>
        <w:t>Aide financière au comité territorial de prévention et de sécurité routière</w:t>
      </w:r>
    </w:p>
    <w:p w14:paraId="15F9106A" w14:textId="77777777" w:rsidR="002D308A" w:rsidRPr="002D308A" w:rsidRDefault="002D308A" w:rsidP="002D308A">
      <w:pPr>
        <w:widowControl w:val="0"/>
        <w:autoSpaceDE w:val="0"/>
        <w:autoSpaceDN w:val="0"/>
        <w:adjustRightInd w:val="0"/>
        <w:jc w:val="both"/>
        <w:rPr>
          <w:rFonts w:ascii="Cambria" w:hAnsi="Cambria" w:cs="Helvetica"/>
          <w:b/>
          <w:bCs/>
        </w:rPr>
      </w:pPr>
    </w:p>
    <w:p w14:paraId="7430850F" w14:textId="350D7AF8" w:rsidR="002D308A" w:rsidRPr="002D308A" w:rsidRDefault="002D308A" w:rsidP="002D308A">
      <w:pPr>
        <w:jc w:val="both"/>
        <w:rPr>
          <w:rFonts w:ascii="Cambria" w:hAnsi="Cambria"/>
        </w:rPr>
      </w:pPr>
      <w:r w:rsidRPr="002D308A">
        <w:rPr>
          <w:rFonts w:ascii="Cambria" w:hAnsi="Cambria"/>
        </w:rPr>
        <w:t xml:space="preserve">Au cours de l’année 2015, 118 accidents ont été recensés en Polynésie française, causant 113 blessés et entraînant la mort de 17 personnes. En 2014, </w:t>
      </w:r>
      <w:r w:rsidR="00704537">
        <w:rPr>
          <w:rFonts w:ascii="Cambria" w:hAnsi="Cambria"/>
        </w:rPr>
        <w:t xml:space="preserve">17 décès </w:t>
      </w:r>
      <w:r w:rsidRPr="002D308A">
        <w:rPr>
          <w:rFonts w:ascii="Cambria" w:hAnsi="Cambria"/>
        </w:rPr>
        <w:t>avaient été dénombrés.</w:t>
      </w:r>
      <w:r w:rsidR="00704537">
        <w:rPr>
          <w:rFonts w:ascii="Cambria" w:hAnsi="Cambria"/>
        </w:rPr>
        <w:t xml:space="preserve"> </w:t>
      </w:r>
      <w:r w:rsidRPr="002D308A">
        <w:rPr>
          <w:rFonts w:ascii="Cambria" w:hAnsi="Cambria"/>
        </w:rPr>
        <w:t>Les accidents de la route</w:t>
      </w:r>
      <w:r w:rsidR="00704537">
        <w:rPr>
          <w:rFonts w:ascii="Cambria" w:hAnsi="Cambria"/>
        </w:rPr>
        <w:t>,</w:t>
      </w:r>
      <w:r w:rsidRPr="002D308A">
        <w:rPr>
          <w:rFonts w:ascii="Cambria" w:hAnsi="Cambria"/>
        </w:rPr>
        <w:t xml:space="preserve"> qui constituent l’une des premières causes de mortalité chez les jeunes âgés de moins de 25 ans, sont un enjeu important de sécurité routière et de santé publique.</w:t>
      </w:r>
    </w:p>
    <w:p w14:paraId="45DC3187" w14:textId="77777777" w:rsidR="002D308A" w:rsidRPr="002D308A" w:rsidRDefault="002D308A" w:rsidP="002D308A">
      <w:pPr>
        <w:jc w:val="both"/>
        <w:rPr>
          <w:rFonts w:ascii="Cambria" w:hAnsi="Cambria"/>
        </w:rPr>
      </w:pPr>
    </w:p>
    <w:p w14:paraId="046D8172" w14:textId="255E539A" w:rsidR="002D308A" w:rsidRPr="002D308A" w:rsidRDefault="002D308A" w:rsidP="002D308A">
      <w:pPr>
        <w:jc w:val="both"/>
        <w:rPr>
          <w:rFonts w:ascii="Cambria" w:hAnsi="Cambria"/>
        </w:rPr>
      </w:pPr>
      <w:r w:rsidRPr="002D308A">
        <w:rPr>
          <w:rFonts w:ascii="Cambria" w:hAnsi="Cambria"/>
        </w:rPr>
        <w:t>La lutte contre l’insécurité routière reste ainsi l’une des priorités du Pays</w:t>
      </w:r>
      <w:r w:rsidR="00704537">
        <w:rPr>
          <w:rFonts w:ascii="Cambria" w:hAnsi="Cambria"/>
        </w:rPr>
        <w:t>,</w:t>
      </w:r>
      <w:r w:rsidRPr="002D308A">
        <w:rPr>
          <w:rFonts w:ascii="Cambria" w:hAnsi="Cambria"/>
        </w:rPr>
        <w:t xml:space="preserve"> les actions</w:t>
      </w:r>
      <w:r w:rsidR="00704537">
        <w:rPr>
          <w:rFonts w:ascii="Cambria" w:hAnsi="Cambria"/>
        </w:rPr>
        <w:t xml:space="preserve"> de prévention dans ce domaine </w:t>
      </w:r>
      <w:r w:rsidR="00FC47DB">
        <w:rPr>
          <w:rFonts w:ascii="Cambria" w:hAnsi="Cambria"/>
        </w:rPr>
        <w:t>é</w:t>
      </w:r>
      <w:bookmarkStart w:id="0" w:name="_GoBack"/>
      <w:bookmarkEnd w:id="0"/>
      <w:r w:rsidR="00704537">
        <w:rPr>
          <w:rFonts w:ascii="Cambria" w:hAnsi="Cambria"/>
        </w:rPr>
        <w:t>tant</w:t>
      </w:r>
      <w:r w:rsidRPr="002D308A">
        <w:rPr>
          <w:rFonts w:ascii="Cambria" w:hAnsi="Cambria"/>
        </w:rPr>
        <w:t xml:space="preserve"> menées par la </w:t>
      </w:r>
      <w:r w:rsidR="00704537">
        <w:rPr>
          <w:rFonts w:ascii="Cambria" w:hAnsi="Cambria"/>
        </w:rPr>
        <w:t>D</w:t>
      </w:r>
      <w:r w:rsidRPr="002D308A">
        <w:rPr>
          <w:rFonts w:ascii="Cambria" w:hAnsi="Cambria"/>
        </w:rPr>
        <w:t xml:space="preserve">irection des transports terrestres (DTT). </w:t>
      </w:r>
      <w:r w:rsidR="00704537">
        <w:rPr>
          <w:rFonts w:ascii="Cambria" w:hAnsi="Cambria"/>
        </w:rPr>
        <w:t>La</w:t>
      </w:r>
      <w:r w:rsidRPr="002D308A">
        <w:rPr>
          <w:rFonts w:ascii="Cambria" w:hAnsi="Cambria"/>
        </w:rPr>
        <w:t xml:space="preserve"> mise en place d’un continuum éducatif </w:t>
      </w:r>
      <w:r w:rsidR="00704537">
        <w:rPr>
          <w:rFonts w:ascii="Cambria" w:hAnsi="Cambria"/>
        </w:rPr>
        <w:t xml:space="preserve">notamment </w:t>
      </w:r>
      <w:r w:rsidRPr="002D308A">
        <w:rPr>
          <w:rFonts w:ascii="Cambria" w:hAnsi="Cambria"/>
        </w:rPr>
        <w:t>a permis de sensibiliser les élèves des écoles primaires, des collèges et des lycées.</w:t>
      </w:r>
    </w:p>
    <w:p w14:paraId="645D9078" w14:textId="77777777" w:rsidR="002D308A" w:rsidRPr="002D308A" w:rsidRDefault="002D308A" w:rsidP="002D308A">
      <w:pPr>
        <w:jc w:val="both"/>
        <w:rPr>
          <w:rFonts w:ascii="Cambria" w:hAnsi="Cambria"/>
        </w:rPr>
      </w:pPr>
    </w:p>
    <w:p w14:paraId="780BA297" w14:textId="273E6A10" w:rsidR="002D308A" w:rsidRPr="002D308A" w:rsidRDefault="002D308A" w:rsidP="002D308A">
      <w:pPr>
        <w:jc w:val="both"/>
        <w:rPr>
          <w:rFonts w:ascii="Cambria" w:hAnsi="Cambria"/>
        </w:rPr>
      </w:pPr>
      <w:r w:rsidRPr="002D308A">
        <w:rPr>
          <w:rFonts w:ascii="Cambria" w:hAnsi="Cambria"/>
        </w:rPr>
        <w:t>L’objectif recherché est de placer les enfants et les adolescents</w:t>
      </w:r>
      <w:r w:rsidR="00704537">
        <w:rPr>
          <w:rFonts w:ascii="Cambria" w:hAnsi="Cambria"/>
        </w:rPr>
        <w:t>,</w:t>
      </w:r>
      <w:r w:rsidRPr="002D308A">
        <w:rPr>
          <w:rFonts w:ascii="Cambria" w:hAnsi="Cambria"/>
        </w:rPr>
        <w:t xml:space="preserve"> qui sont plus réceptifs que les adultes, face aux réalités de la route. Les éduquer à être vigilants et responsables est par conséquent vital d’autant qu’ils sont usagers de la route en tant que piétons, cyclistes, cyclomotoristes ou passagers de voiture.</w:t>
      </w:r>
    </w:p>
    <w:p w14:paraId="747C4054" w14:textId="77777777" w:rsidR="002D308A" w:rsidRPr="002D308A" w:rsidRDefault="002D308A" w:rsidP="002D308A">
      <w:pPr>
        <w:jc w:val="both"/>
        <w:rPr>
          <w:rFonts w:ascii="Cambria" w:hAnsi="Cambria"/>
        </w:rPr>
      </w:pPr>
    </w:p>
    <w:p w14:paraId="71697330" w14:textId="77777777" w:rsidR="002D308A" w:rsidRPr="002D308A" w:rsidRDefault="002D308A" w:rsidP="002D308A">
      <w:pPr>
        <w:jc w:val="both"/>
        <w:rPr>
          <w:rFonts w:ascii="Cambria" w:hAnsi="Cambria"/>
        </w:rPr>
      </w:pPr>
      <w:r w:rsidRPr="002D308A">
        <w:rPr>
          <w:rFonts w:ascii="Cambria" w:hAnsi="Cambria"/>
        </w:rPr>
        <w:t>Le comité de prévention et de sécurité routière qui est un partenaire important dans cette lutte contre l’insécurité routière, anime depuis plusieurs années des séances de sensibilisation dans des établissements scolaires du second degré pour inculquer aux élèves la notion de vulnérabilité du corps humain et les limites des facultés humaines ainsi que les dangers encourus en deux roues (traumatologie) afin de diminuer la prise de risques sur les routes.</w:t>
      </w:r>
    </w:p>
    <w:p w14:paraId="5DBCD691" w14:textId="77777777" w:rsidR="002D308A" w:rsidRPr="002D308A" w:rsidRDefault="002D308A" w:rsidP="002D308A">
      <w:pPr>
        <w:jc w:val="both"/>
        <w:rPr>
          <w:rFonts w:ascii="Cambria" w:hAnsi="Cambria"/>
        </w:rPr>
      </w:pPr>
    </w:p>
    <w:p w14:paraId="7574EDD9" w14:textId="77777777" w:rsidR="002D308A" w:rsidRDefault="002D308A" w:rsidP="002D308A">
      <w:pPr>
        <w:jc w:val="both"/>
        <w:rPr>
          <w:rFonts w:ascii="Cambria" w:hAnsi="Cambria"/>
        </w:rPr>
      </w:pPr>
      <w:r w:rsidRPr="002D308A">
        <w:rPr>
          <w:rFonts w:ascii="Cambria" w:hAnsi="Cambria"/>
        </w:rPr>
        <w:t>Sur le plan pédagogique, les animateurs interviennent de la manière suivante :</w:t>
      </w:r>
    </w:p>
    <w:p w14:paraId="2077C0D4" w14:textId="77777777" w:rsidR="00704537" w:rsidRPr="002D308A" w:rsidRDefault="00704537" w:rsidP="002D308A">
      <w:pPr>
        <w:jc w:val="both"/>
        <w:rPr>
          <w:rFonts w:ascii="Cambria" w:hAnsi="Cambria"/>
        </w:rPr>
      </w:pPr>
    </w:p>
    <w:p w14:paraId="21D58FF3" w14:textId="485D076F" w:rsidR="002D308A" w:rsidRPr="002D308A" w:rsidRDefault="002D308A" w:rsidP="002D308A">
      <w:pPr>
        <w:jc w:val="both"/>
        <w:rPr>
          <w:rFonts w:ascii="Cambria" w:hAnsi="Cambria"/>
        </w:rPr>
      </w:pPr>
      <w:r w:rsidRPr="002D308A">
        <w:rPr>
          <w:rFonts w:ascii="Cambria" w:hAnsi="Cambria"/>
        </w:rPr>
        <w:lastRenderedPageBreak/>
        <w:t>-</w:t>
      </w:r>
      <w:r w:rsidRPr="002D308A">
        <w:rPr>
          <w:rFonts w:ascii="Cambria" w:hAnsi="Cambria"/>
        </w:rPr>
        <w:tab/>
        <w:t>Pour les élèves des classes de 5ème, 3ème, CETAD et SEGPA, la séance de sensibilisation, complète le programme dispensé par les enseignants dans le cadre du volet théorique du brevet de sécurité routière (BSR). Les dangers encourus lors des déplacements à pied, à vélo ou en deux roues motorisés, la vitesse avec la violence des chocs en cas d’accident sont des sujets abordés.</w:t>
      </w:r>
    </w:p>
    <w:p w14:paraId="33F2F6AE" w14:textId="77777777" w:rsidR="002D308A" w:rsidRPr="002D308A" w:rsidRDefault="002D308A" w:rsidP="002D308A">
      <w:pPr>
        <w:jc w:val="both"/>
        <w:rPr>
          <w:rFonts w:ascii="Cambria" w:hAnsi="Cambria"/>
        </w:rPr>
      </w:pPr>
    </w:p>
    <w:p w14:paraId="363E635E" w14:textId="578E41FD" w:rsidR="002D308A" w:rsidRPr="002D308A" w:rsidRDefault="002D308A" w:rsidP="002D308A">
      <w:pPr>
        <w:jc w:val="both"/>
        <w:rPr>
          <w:rFonts w:ascii="Cambria" w:hAnsi="Cambria"/>
        </w:rPr>
      </w:pPr>
      <w:r w:rsidRPr="002D308A">
        <w:rPr>
          <w:rFonts w:ascii="Cambria" w:hAnsi="Cambria"/>
        </w:rPr>
        <w:t>-</w:t>
      </w:r>
      <w:r w:rsidRPr="002D308A">
        <w:rPr>
          <w:rFonts w:ascii="Cambria" w:hAnsi="Cambria"/>
        </w:rPr>
        <w:tab/>
        <w:t>Pour les lycéens, des classes de seconde qui sont en âge de s’inscrire à l’apprentissage anticipé de la conduite, les données traitées précédemment seront revues. Le thème des sorties nocturnes, la circulation à bord d’un véhicule conduit par un chauffeur sous l’emprise de l’alcool</w:t>
      </w:r>
      <w:r w:rsidR="00704537">
        <w:rPr>
          <w:rFonts w:ascii="Cambria" w:hAnsi="Cambria"/>
        </w:rPr>
        <w:t>,</w:t>
      </w:r>
      <w:r w:rsidRPr="002D308A">
        <w:rPr>
          <w:rFonts w:ascii="Cambria" w:hAnsi="Cambria"/>
        </w:rPr>
        <w:t xml:space="preserve"> ser</w:t>
      </w:r>
      <w:r w:rsidR="00704537">
        <w:rPr>
          <w:rFonts w:ascii="Cambria" w:hAnsi="Cambria"/>
        </w:rPr>
        <w:t>ont</w:t>
      </w:r>
      <w:r w:rsidRPr="002D308A">
        <w:rPr>
          <w:rFonts w:ascii="Cambria" w:hAnsi="Cambria"/>
        </w:rPr>
        <w:t xml:space="preserve"> également travaillé</w:t>
      </w:r>
      <w:r w:rsidR="00704537">
        <w:rPr>
          <w:rFonts w:ascii="Cambria" w:hAnsi="Cambria"/>
        </w:rPr>
        <w:t>s</w:t>
      </w:r>
      <w:r w:rsidRPr="002D308A">
        <w:rPr>
          <w:rFonts w:ascii="Cambria" w:hAnsi="Cambria"/>
        </w:rPr>
        <w:t xml:space="preserve"> avec les élèves.</w:t>
      </w:r>
      <w:r w:rsidR="00704537">
        <w:rPr>
          <w:rFonts w:ascii="Cambria" w:hAnsi="Cambria"/>
        </w:rPr>
        <w:t xml:space="preserve"> </w:t>
      </w:r>
      <w:r w:rsidRPr="002D308A">
        <w:rPr>
          <w:rFonts w:ascii="Cambria" w:hAnsi="Cambria"/>
        </w:rPr>
        <w:t xml:space="preserve">Ainsi, 375 séances d’une durée de deux heures sont prévues au programme </w:t>
      </w:r>
      <w:r w:rsidR="00704537">
        <w:rPr>
          <w:rFonts w:ascii="Cambria" w:hAnsi="Cambria"/>
        </w:rPr>
        <w:t>de la prévention routière</w:t>
      </w:r>
      <w:r w:rsidRPr="002D308A">
        <w:rPr>
          <w:rFonts w:ascii="Cambria" w:hAnsi="Cambria"/>
        </w:rPr>
        <w:t xml:space="preserve"> pour l’année scolaire 2016-2017</w:t>
      </w:r>
      <w:r w:rsidR="00704537">
        <w:rPr>
          <w:rFonts w:ascii="Cambria" w:hAnsi="Cambria"/>
        </w:rPr>
        <w:t>, celles-ci étant</w:t>
      </w:r>
      <w:r w:rsidRPr="002D308A">
        <w:rPr>
          <w:rFonts w:ascii="Cambria" w:hAnsi="Cambria"/>
        </w:rPr>
        <w:t xml:space="preserve"> réparties dans les établissements scolaires publics et privés de Tahiti et Moorea.</w:t>
      </w:r>
    </w:p>
    <w:p w14:paraId="0AEE4463" w14:textId="77777777" w:rsidR="002D308A" w:rsidRPr="002D308A" w:rsidRDefault="002D308A" w:rsidP="002D308A">
      <w:pPr>
        <w:jc w:val="both"/>
        <w:rPr>
          <w:rFonts w:ascii="Cambria" w:hAnsi="Cambria"/>
        </w:rPr>
      </w:pPr>
    </w:p>
    <w:p w14:paraId="1276DD8D" w14:textId="00742666" w:rsidR="002D308A" w:rsidRPr="002D308A" w:rsidRDefault="002D308A" w:rsidP="002D308A">
      <w:pPr>
        <w:jc w:val="both"/>
        <w:rPr>
          <w:rFonts w:ascii="Cambria" w:hAnsi="Cambria"/>
        </w:rPr>
      </w:pPr>
      <w:r w:rsidRPr="002D308A">
        <w:rPr>
          <w:rFonts w:ascii="Cambria" w:hAnsi="Cambria"/>
        </w:rPr>
        <w:t xml:space="preserve">Compte tenu de ces éléments, le </w:t>
      </w:r>
      <w:r w:rsidR="00704537">
        <w:rPr>
          <w:rFonts w:ascii="Cambria" w:hAnsi="Cambria"/>
        </w:rPr>
        <w:t>C</w:t>
      </w:r>
      <w:r w:rsidRPr="002D308A">
        <w:rPr>
          <w:rFonts w:ascii="Cambria" w:hAnsi="Cambria"/>
        </w:rPr>
        <w:t>onseil des ministre</w:t>
      </w:r>
      <w:r w:rsidR="00704537">
        <w:rPr>
          <w:rFonts w:ascii="Cambria" w:hAnsi="Cambria"/>
        </w:rPr>
        <w:t xml:space="preserve">s a accordé une subvention de 3 500 </w:t>
      </w:r>
      <w:r w:rsidRPr="002D308A">
        <w:rPr>
          <w:rFonts w:ascii="Cambria" w:hAnsi="Cambria"/>
        </w:rPr>
        <w:t xml:space="preserve">000 </w:t>
      </w:r>
      <w:proofErr w:type="spellStart"/>
      <w:r w:rsidRPr="002D308A">
        <w:rPr>
          <w:rFonts w:ascii="Cambria" w:hAnsi="Cambria"/>
        </w:rPr>
        <w:t>F</w:t>
      </w:r>
      <w:r w:rsidR="00704537">
        <w:rPr>
          <w:rFonts w:ascii="Cambria" w:hAnsi="Cambria"/>
        </w:rPr>
        <w:t>cfp</w:t>
      </w:r>
      <w:proofErr w:type="spellEnd"/>
      <w:r w:rsidRPr="002D308A">
        <w:rPr>
          <w:rFonts w:ascii="Cambria" w:hAnsi="Cambria"/>
        </w:rPr>
        <w:t xml:space="preserve"> à l'Association de Prévention Routière de la Polynésie française afin de lui permettre de poursuivre ses actions en matière de prévention et de sécurité routière en milieu scolaire.</w:t>
      </w:r>
    </w:p>
    <w:p w14:paraId="68FC21BF" w14:textId="77777777" w:rsidR="002D308A" w:rsidRDefault="002D308A" w:rsidP="002D308A">
      <w:pPr>
        <w:jc w:val="both"/>
        <w:rPr>
          <w:rFonts w:ascii="Cambria" w:hAnsi="Cambria"/>
        </w:rPr>
      </w:pPr>
    </w:p>
    <w:p w14:paraId="030592CE" w14:textId="77777777" w:rsidR="00704537" w:rsidRDefault="00704537" w:rsidP="002D308A">
      <w:pPr>
        <w:jc w:val="both"/>
        <w:rPr>
          <w:rFonts w:ascii="Cambria" w:hAnsi="Cambria"/>
        </w:rPr>
      </w:pPr>
    </w:p>
    <w:p w14:paraId="4612237E" w14:textId="77777777" w:rsidR="00276450" w:rsidRDefault="00276450" w:rsidP="002D308A">
      <w:pPr>
        <w:jc w:val="both"/>
        <w:rPr>
          <w:rFonts w:ascii="Cambria" w:hAnsi="Cambria"/>
        </w:rPr>
      </w:pPr>
    </w:p>
    <w:p w14:paraId="40E86FC4" w14:textId="77777777" w:rsidR="00276450" w:rsidRDefault="00276450" w:rsidP="002D308A">
      <w:pPr>
        <w:jc w:val="both"/>
        <w:rPr>
          <w:rFonts w:ascii="Cambria" w:hAnsi="Cambria"/>
        </w:rPr>
      </w:pPr>
    </w:p>
    <w:p w14:paraId="574E4842" w14:textId="41B2CA3E" w:rsidR="00704537" w:rsidRPr="00704537" w:rsidRDefault="00704537" w:rsidP="002D308A">
      <w:pPr>
        <w:jc w:val="both"/>
        <w:rPr>
          <w:rFonts w:ascii="Cambria" w:hAnsi="Cambria"/>
          <w:b/>
        </w:rPr>
      </w:pPr>
      <w:proofErr w:type="spellStart"/>
      <w:r w:rsidRPr="00704537">
        <w:rPr>
          <w:rFonts w:ascii="Cambria" w:hAnsi="Cambria"/>
          <w:b/>
        </w:rPr>
        <w:t>Hawaiki</w:t>
      </w:r>
      <w:proofErr w:type="spellEnd"/>
      <w:r w:rsidRPr="00704537">
        <w:rPr>
          <w:rFonts w:ascii="Cambria" w:hAnsi="Cambria"/>
          <w:b/>
        </w:rPr>
        <w:t xml:space="preserve"> Nui </w:t>
      </w:r>
      <w:proofErr w:type="spellStart"/>
      <w:r w:rsidRPr="00704537">
        <w:rPr>
          <w:rFonts w:ascii="Cambria" w:hAnsi="Cambria"/>
          <w:b/>
        </w:rPr>
        <w:t>va’a</w:t>
      </w:r>
      <w:proofErr w:type="spellEnd"/>
      <w:r w:rsidRPr="00704537">
        <w:rPr>
          <w:rFonts w:ascii="Cambria" w:hAnsi="Cambria"/>
          <w:b/>
        </w:rPr>
        <w:t> : convention entre le Pays et le comité organisateur</w:t>
      </w:r>
    </w:p>
    <w:p w14:paraId="0D3EA17F" w14:textId="77777777" w:rsidR="00704537" w:rsidRPr="00704537" w:rsidRDefault="00704537" w:rsidP="002D308A">
      <w:pPr>
        <w:jc w:val="both"/>
        <w:rPr>
          <w:rFonts w:ascii="Cambria" w:hAnsi="Cambria"/>
        </w:rPr>
      </w:pPr>
    </w:p>
    <w:p w14:paraId="25BA5389" w14:textId="52C42F29" w:rsidR="00704537" w:rsidRPr="00704537" w:rsidRDefault="00704537" w:rsidP="00704537">
      <w:pPr>
        <w:jc w:val="both"/>
        <w:rPr>
          <w:rFonts w:ascii="Cambria" w:hAnsi="Cambria"/>
          <w:lang w:eastAsia="fr-FR"/>
        </w:rPr>
      </w:pPr>
      <w:r w:rsidRPr="00704537">
        <w:rPr>
          <w:rFonts w:ascii="Cambria" w:hAnsi="Cambria"/>
          <w:lang w:eastAsia="fr-FR"/>
        </w:rPr>
        <w:t xml:space="preserve">Le ministre de l’Equipement, de l’aménagement et de l’urbanisme et des transports intérieurs a soumis à l’examen du Conseil des ministres un projet d’arrêté approuvant une convention de partenariat à conclure par le Pays avec l’Association comité organisateur </w:t>
      </w:r>
      <w:proofErr w:type="spellStart"/>
      <w:r w:rsidRPr="00704537">
        <w:rPr>
          <w:rFonts w:ascii="Cambria" w:hAnsi="Cambria"/>
          <w:lang w:eastAsia="fr-FR"/>
        </w:rPr>
        <w:t>Hawaiki</w:t>
      </w:r>
      <w:proofErr w:type="spellEnd"/>
      <w:r w:rsidRPr="00704537">
        <w:rPr>
          <w:rFonts w:ascii="Cambria" w:hAnsi="Cambria"/>
          <w:lang w:eastAsia="fr-FR"/>
        </w:rPr>
        <w:t xml:space="preserve"> Nui </w:t>
      </w:r>
      <w:proofErr w:type="spellStart"/>
      <w:r w:rsidRPr="00704537">
        <w:rPr>
          <w:rFonts w:ascii="Cambria" w:hAnsi="Cambria"/>
          <w:lang w:eastAsia="fr-FR"/>
        </w:rPr>
        <w:t>va’a</w:t>
      </w:r>
      <w:proofErr w:type="spellEnd"/>
      <w:r w:rsidRPr="00704537">
        <w:rPr>
          <w:rFonts w:ascii="Cambria" w:hAnsi="Cambria"/>
          <w:lang w:eastAsia="fr-FR"/>
        </w:rPr>
        <w:t xml:space="preserve"> (ACOHV), dans le cadre de la 25</w:t>
      </w:r>
      <w:r w:rsidRPr="00704537">
        <w:rPr>
          <w:rFonts w:ascii="Cambria" w:hAnsi="Cambria"/>
          <w:vertAlign w:val="superscript"/>
          <w:lang w:eastAsia="fr-FR"/>
        </w:rPr>
        <w:t>ème</w:t>
      </w:r>
      <w:r w:rsidRPr="00704537">
        <w:rPr>
          <w:rFonts w:ascii="Cambria" w:hAnsi="Cambria"/>
          <w:lang w:eastAsia="fr-FR"/>
        </w:rPr>
        <w:t xml:space="preserve"> édition de la course de pirogue « </w:t>
      </w:r>
      <w:proofErr w:type="spellStart"/>
      <w:r w:rsidRPr="00704537">
        <w:rPr>
          <w:rFonts w:ascii="Cambria" w:hAnsi="Cambria"/>
          <w:lang w:eastAsia="fr-FR"/>
        </w:rPr>
        <w:t>Hawaiki</w:t>
      </w:r>
      <w:proofErr w:type="spellEnd"/>
      <w:r w:rsidRPr="00704537">
        <w:rPr>
          <w:rFonts w:ascii="Cambria" w:hAnsi="Cambria"/>
          <w:lang w:eastAsia="fr-FR"/>
        </w:rPr>
        <w:t xml:space="preserve"> Nui </w:t>
      </w:r>
      <w:proofErr w:type="spellStart"/>
      <w:r w:rsidRPr="00704537">
        <w:rPr>
          <w:rFonts w:ascii="Cambria" w:hAnsi="Cambria"/>
          <w:lang w:eastAsia="fr-FR"/>
        </w:rPr>
        <w:t>Va’a</w:t>
      </w:r>
      <w:proofErr w:type="spellEnd"/>
      <w:r w:rsidRPr="00704537">
        <w:rPr>
          <w:rFonts w:ascii="Cambria" w:hAnsi="Cambria"/>
          <w:lang w:eastAsia="fr-FR"/>
        </w:rPr>
        <w:t> » qui se déroulera du 2 au 3 novembre 2016.</w:t>
      </w:r>
    </w:p>
    <w:p w14:paraId="782379D8" w14:textId="77777777" w:rsidR="00704537" w:rsidRPr="00704537" w:rsidRDefault="00704537" w:rsidP="00704537">
      <w:pPr>
        <w:jc w:val="both"/>
        <w:rPr>
          <w:rFonts w:ascii="Cambria" w:hAnsi="Cambria"/>
          <w:lang w:eastAsia="fr-FR"/>
        </w:rPr>
      </w:pPr>
    </w:p>
    <w:p w14:paraId="040653D3" w14:textId="77777777" w:rsidR="00704537" w:rsidRPr="00704537" w:rsidRDefault="00704537" w:rsidP="00704537">
      <w:pPr>
        <w:jc w:val="both"/>
        <w:rPr>
          <w:rFonts w:ascii="Cambria" w:hAnsi="Cambria"/>
          <w:lang w:eastAsia="fr-FR"/>
        </w:rPr>
      </w:pPr>
      <w:r w:rsidRPr="00704537">
        <w:rPr>
          <w:rFonts w:ascii="Cambria" w:hAnsi="Cambria"/>
          <w:lang w:eastAsia="fr-FR"/>
        </w:rPr>
        <w:t xml:space="preserve">La convention prévoit que la Polynésie française mette à disposition de l’ACOHAV les navires Tahiti Nui et Tahiti Nui VIII pour assurer le transport de la logistique, des passagers, des équipes de tournages et de leur matériel, ainsi que des </w:t>
      </w:r>
      <w:proofErr w:type="spellStart"/>
      <w:r w:rsidRPr="00704537">
        <w:rPr>
          <w:rFonts w:ascii="Cambria" w:hAnsi="Cambria"/>
          <w:lang w:eastAsia="fr-FR"/>
        </w:rPr>
        <w:t>va’a</w:t>
      </w:r>
      <w:proofErr w:type="spellEnd"/>
      <w:r w:rsidRPr="00704537">
        <w:rPr>
          <w:rFonts w:ascii="Cambria" w:hAnsi="Cambria"/>
          <w:lang w:eastAsia="fr-FR"/>
        </w:rPr>
        <w:t>.</w:t>
      </w:r>
    </w:p>
    <w:p w14:paraId="01CA7EFA" w14:textId="77777777" w:rsidR="00704537" w:rsidRPr="00704537" w:rsidRDefault="00704537" w:rsidP="00704537">
      <w:pPr>
        <w:jc w:val="both"/>
        <w:rPr>
          <w:rFonts w:ascii="Cambria" w:hAnsi="Cambria"/>
          <w:lang w:eastAsia="fr-FR"/>
        </w:rPr>
      </w:pPr>
    </w:p>
    <w:p w14:paraId="5075EE92" w14:textId="2F1AA84C" w:rsidR="00704537" w:rsidRPr="00704537" w:rsidRDefault="00704537" w:rsidP="00704537">
      <w:pPr>
        <w:jc w:val="both"/>
        <w:rPr>
          <w:rFonts w:ascii="Cambria" w:hAnsi="Cambria"/>
          <w:lang w:eastAsia="fr-FR"/>
        </w:rPr>
      </w:pPr>
      <w:r w:rsidRPr="00704537">
        <w:rPr>
          <w:rFonts w:ascii="Cambria" w:hAnsi="Cambria"/>
          <w:lang w:eastAsia="fr-FR"/>
        </w:rPr>
        <w:t>En contrepartie de cette mise à disposition, l’ACOHV prend à sa charge les frais de carburant et huiles moteurs, les frais d’assurance destinée à couvrir les risques liés à l’acheminement de l’ensemble du dispositif et des participants, et s’engage également, dans le cadre du film réalisé sur l’évènement, à faire mention de sa tenue sous le haut patronage du Pays.</w:t>
      </w:r>
    </w:p>
    <w:p w14:paraId="36C62ECC" w14:textId="77777777" w:rsidR="00704537" w:rsidRDefault="00704537" w:rsidP="002D308A">
      <w:pPr>
        <w:jc w:val="both"/>
        <w:rPr>
          <w:rFonts w:ascii="Cambria" w:hAnsi="Cambria"/>
        </w:rPr>
      </w:pPr>
    </w:p>
    <w:p w14:paraId="6BFE21A5" w14:textId="77777777" w:rsidR="00704537" w:rsidRPr="002D308A" w:rsidRDefault="00704537" w:rsidP="002D308A">
      <w:pPr>
        <w:jc w:val="both"/>
        <w:rPr>
          <w:rFonts w:ascii="Cambria" w:hAnsi="Cambria"/>
        </w:rPr>
      </w:pPr>
    </w:p>
    <w:p w14:paraId="60F0F269" w14:textId="03B4BD68" w:rsidR="0087175A" w:rsidRDefault="0087175A" w:rsidP="002D308A">
      <w:pPr>
        <w:rPr>
          <w:rFonts w:ascii="Cambria" w:hAnsi="Cambria"/>
        </w:rPr>
      </w:pPr>
    </w:p>
    <w:p w14:paraId="6E3BC7DF" w14:textId="77777777" w:rsidR="002D308A" w:rsidRPr="002D308A" w:rsidRDefault="002D308A" w:rsidP="002D308A">
      <w:pPr>
        <w:pStyle w:val="-LettrehDestinataireadGEDA"/>
        <w:jc w:val="both"/>
        <w:rPr>
          <w:rFonts w:ascii="Cambria" w:hAnsi="Cambria"/>
        </w:rPr>
      </w:pPr>
      <w:r w:rsidRPr="002D308A">
        <w:rPr>
          <w:rFonts w:ascii="Cambria" w:hAnsi="Cambria"/>
          <w:noProof w:val="0"/>
          <w:szCs w:val="24"/>
        </w:rPr>
        <w:t xml:space="preserve">Déclaration d’utilité publique pour la construction d’un abri para-cyclonique à </w:t>
      </w:r>
      <w:proofErr w:type="spellStart"/>
      <w:r w:rsidRPr="002D308A">
        <w:rPr>
          <w:rFonts w:ascii="Cambria" w:hAnsi="Cambria"/>
          <w:noProof w:val="0"/>
          <w:szCs w:val="24"/>
        </w:rPr>
        <w:t>Tatakoto</w:t>
      </w:r>
      <w:proofErr w:type="spellEnd"/>
    </w:p>
    <w:p w14:paraId="066FA1B0" w14:textId="77777777" w:rsidR="002D308A" w:rsidRPr="002D308A" w:rsidRDefault="002D308A" w:rsidP="002D308A">
      <w:pPr>
        <w:pStyle w:val="-LettrehDestinataireadGEDA"/>
        <w:jc w:val="both"/>
        <w:rPr>
          <w:rFonts w:ascii="Cambria" w:hAnsi="Cambria"/>
          <w:b w:val="0"/>
        </w:rPr>
      </w:pPr>
    </w:p>
    <w:p w14:paraId="039A912B" w14:textId="77777777" w:rsidR="002D308A" w:rsidRPr="002D308A" w:rsidRDefault="002D308A" w:rsidP="002D308A">
      <w:pPr>
        <w:jc w:val="both"/>
        <w:rPr>
          <w:rFonts w:ascii="Cambria" w:hAnsi="Cambria"/>
          <w:lang w:eastAsia="fr-FR"/>
        </w:rPr>
      </w:pPr>
      <w:r w:rsidRPr="002D308A">
        <w:rPr>
          <w:rFonts w:ascii="Cambria" w:hAnsi="Cambria"/>
          <w:lang w:eastAsia="fr-FR"/>
        </w:rPr>
        <w:t xml:space="preserve">Le ministre de l’Equipement a présenté au Conseil des ministres un projet d’arrêté relatif à la déclaration d’utilité publique de l’opération de construction d’un abri cyclonique dans la commune de </w:t>
      </w:r>
      <w:proofErr w:type="spellStart"/>
      <w:r w:rsidRPr="002D308A">
        <w:rPr>
          <w:rFonts w:ascii="Cambria" w:hAnsi="Cambria"/>
          <w:lang w:eastAsia="fr-FR"/>
        </w:rPr>
        <w:t>Tatakoto</w:t>
      </w:r>
      <w:proofErr w:type="spellEnd"/>
      <w:r w:rsidRPr="002D308A">
        <w:rPr>
          <w:rFonts w:ascii="Cambria" w:hAnsi="Cambria"/>
          <w:lang w:eastAsia="fr-FR"/>
        </w:rPr>
        <w:t>, et à la cessibilité des parcelles de terres nécessaires à la réalisation des ouvrages.</w:t>
      </w:r>
    </w:p>
    <w:p w14:paraId="5BBFC2E3" w14:textId="77777777" w:rsidR="002D308A" w:rsidRPr="002D308A" w:rsidRDefault="002D308A" w:rsidP="002D308A">
      <w:pPr>
        <w:jc w:val="both"/>
        <w:rPr>
          <w:rFonts w:ascii="Cambria" w:hAnsi="Cambria"/>
          <w:lang w:eastAsia="fr-FR"/>
        </w:rPr>
      </w:pPr>
    </w:p>
    <w:p w14:paraId="66A45501" w14:textId="0FD14225" w:rsidR="002D308A" w:rsidRPr="002D308A" w:rsidRDefault="002D308A" w:rsidP="002D308A">
      <w:pPr>
        <w:jc w:val="both"/>
        <w:rPr>
          <w:rFonts w:ascii="Cambria" w:hAnsi="Cambria"/>
          <w:lang w:eastAsia="fr-FR"/>
        </w:rPr>
      </w:pPr>
      <w:r w:rsidRPr="002D308A">
        <w:rPr>
          <w:rFonts w:ascii="Cambria" w:hAnsi="Cambria"/>
          <w:lang w:eastAsia="fr-FR"/>
        </w:rPr>
        <w:t xml:space="preserve">Cette opération réalisée dans le cadre du Contrat de projets va permettre de </w:t>
      </w:r>
      <w:r w:rsidR="00704537">
        <w:rPr>
          <w:rFonts w:ascii="Cambria" w:hAnsi="Cambria"/>
          <w:lang w:eastAsia="fr-FR"/>
        </w:rPr>
        <w:t>placer</w:t>
      </w:r>
      <w:r w:rsidRPr="002D308A">
        <w:rPr>
          <w:rFonts w:ascii="Cambria" w:hAnsi="Cambria"/>
          <w:lang w:eastAsia="fr-FR"/>
        </w:rPr>
        <w:t xml:space="preserve"> en sécurité les habitants de l’atoll en cas de cyclone. Au titre de son exploitation permanente, le bâtiment dans son usage quotidien, abritera les bureaux de la mairie ainsi que ceux de l’infirmerie.</w:t>
      </w:r>
    </w:p>
    <w:p w14:paraId="495DFFB3" w14:textId="77777777" w:rsidR="002D308A" w:rsidRPr="002D308A" w:rsidRDefault="002D308A" w:rsidP="002D308A">
      <w:pPr>
        <w:jc w:val="both"/>
        <w:rPr>
          <w:rFonts w:ascii="Cambria" w:hAnsi="Cambria"/>
          <w:lang w:eastAsia="fr-FR"/>
        </w:rPr>
      </w:pPr>
    </w:p>
    <w:p w14:paraId="362744EE" w14:textId="77777777" w:rsidR="002D308A" w:rsidRPr="002D308A" w:rsidRDefault="002D308A" w:rsidP="002D308A">
      <w:pPr>
        <w:jc w:val="both"/>
        <w:rPr>
          <w:rFonts w:ascii="Cambria" w:hAnsi="Cambria"/>
          <w:lang w:eastAsia="fr-FR"/>
        </w:rPr>
      </w:pPr>
      <w:r w:rsidRPr="002D308A">
        <w:rPr>
          <w:rFonts w:ascii="Cambria" w:hAnsi="Cambria"/>
          <w:lang w:eastAsia="fr-FR"/>
        </w:rPr>
        <w:t>L’arrêté soumis au Conseil des ministres s’inscrit dans la procédure d’acquisition par expropriation initiée par un arrêté du Conseil des ministres du 17 mars dernier et tient compte de l’avis favorable formulé par le commissaire enquêteur au terme des enquêtes publiques qui se sont déroulées du 18 mai au 3 juin 2016.</w:t>
      </w:r>
    </w:p>
    <w:p w14:paraId="1690908C" w14:textId="77777777" w:rsidR="0087175A" w:rsidRDefault="0087175A" w:rsidP="0087175A">
      <w:pPr>
        <w:rPr>
          <w:rFonts w:ascii="Cambria" w:hAnsi="Cambria"/>
          <w:lang w:eastAsia="fr-FR"/>
        </w:rPr>
      </w:pPr>
    </w:p>
    <w:p w14:paraId="1A940112" w14:textId="77777777" w:rsidR="002D308A" w:rsidRDefault="002D308A" w:rsidP="0087175A">
      <w:pPr>
        <w:rPr>
          <w:rFonts w:ascii="Cambria" w:hAnsi="Cambria"/>
          <w:lang w:eastAsia="fr-FR"/>
        </w:rPr>
      </w:pPr>
    </w:p>
    <w:p w14:paraId="66CFD60A" w14:textId="544E0FC5" w:rsidR="00A56D78" w:rsidRDefault="00A56D78" w:rsidP="0087175A">
      <w:pPr>
        <w:pStyle w:val="Sansinterligne"/>
        <w:jc w:val="both"/>
        <w:rPr>
          <w:rFonts w:ascii="Cambria" w:hAnsi="Cambria"/>
          <w:b/>
          <w:sz w:val="24"/>
          <w:szCs w:val="24"/>
        </w:rPr>
      </w:pPr>
    </w:p>
    <w:p w14:paraId="63EAB6B3" w14:textId="5003310A" w:rsidR="0087175A" w:rsidRDefault="0087175A" w:rsidP="0087175A">
      <w:pPr>
        <w:pStyle w:val="Sansinterligne"/>
        <w:jc w:val="both"/>
        <w:rPr>
          <w:rFonts w:ascii="Cambria" w:hAnsi="Cambria"/>
          <w:b/>
          <w:sz w:val="24"/>
          <w:szCs w:val="24"/>
        </w:rPr>
      </w:pPr>
      <w:r w:rsidRPr="0087175A">
        <w:rPr>
          <w:rFonts w:ascii="Cambria" w:hAnsi="Cambria"/>
          <w:b/>
          <w:sz w:val="24"/>
          <w:szCs w:val="24"/>
        </w:rPr>
        <w:t xml:space="preserve">Attribution d’une subvention de fonctionnement </w:t>
      </w:r>
      <w:r w:rsidR="00704537">
        <w:rPr>
          <w:rFonts w:ascii="Cambria" w:hAnsi="Cambria"/>
          <w:b/>
          <w:sz w:val="24"/>
          <w:szCs w:val="24"/>
        </w:rPr>
        <w:t>pour</w:t>
      </w:r>
      <w:r w:rsidRPr="0087175A">
        <w:rPr>
          <w:rFonts w:ascii="Cambria" w:hAnsi="Cambria"/>
          <w:b/>
          <w:sz w:val="24"/>
          <w:szCs w:val="24"/>
        </w:rPr>
        <w:t xml:space="preserve"> l’association « Musique en  Polynésie »</w:t>
      </w:r>
    </w:p>
    <w:p w14:paraId="3F9E5FB1" w14:textId="77777777" w:rsidR="0087175A" w:rsidRPr="0087175A" w:rsidRDefault="0087175A" w:rsidP="0087175A">
      <w:pPr>
        <w:pStyle w:val="Sansinterligne"/>
        <w:jc w:val="both"/>
        <w:rPr>
          <w:rFonts w:ascii="Cambria" w:hAnsi="Cambria"/>
          <w:b/>
          <w:sz w:val="24"/>
          <w:szCs w:val="24"/>
        </w:rPr>
      </w:pPr>
    </w:p>
    <w:p w14:paraId="6261B156" w14:textId="3D0DC3C4" w:rsidR="0087175A" w:rsidRDefault="0087175A" w:rsidP="0087175A">
      <w:pPr>
        <w:pStyle w:val="-LettreTexteGEDA"/>
        <w:spacing w:before="0"/>
        <w:ind w:firstLine="0"/>
        <w:rPr>
          <w:rFonts w:ascii="Cambria" w:hAnsi="Cambria"/>
          <w:noProof w:val="0"/>
          <w:szCs w:val="24"/>
        </w:rPr>
      </w:pPr>
      <w:r w:rsidRPr="0087175A">
        <w:rPr>
          <w:rFonts w:ascii="Cambria" w:hAnsi="Cambria"/>
          <w:noProof w:val="0"/>
          <w:szCs w:val="24"/>
        </w:rPr>
        <w:t>L’association « M</w:t>
      </w:r>
      <w:r w:rsidR="00704537">
        <w:rPr>
          <w:rFonts w:ascii="Cambria" w:hAnsi="Cambria"/>
          <w:noProof w:val="0"/>
          <w:szCs w:val="24"/>
        </w:rPr>
        <w:t xml:space="preserve">usique en Polynésie », reconnue </w:t>
      </w:r>
      <w:r w:rsidRPr="0087175A">
        <w:rPr>
          <w:rFonts w:ascii="Cambria" w:hAnsi="Cambria"/>
          <w:noProof w:val="0"/>
          <w:szCs w:val="24"/>
        </w:rPr>
        <w:t>d’utilité publique, entame cette année sa vingt-neuvième saison musicale. Administrée par un bureau composé de membres bén</w:t>
      </w:r>
      <w:r w:rsidR="00704537">
        <w:rPr>
          <w:rFonts w:ascii="Cambria" w:hAnsi="Cambria"/>
          <w:noProof w:val="0"/>
          <w:szCs w:val="24"/>
        </w:rPr>
        <w:t>évoles, elle offre chaque année</w:t>
      </w:r>
      <w:r w:rsidRPr="0087175A">
        <w:rPr>
          <w:rFonts w:ascii="Cambria" w:hAnsi="Cambria"/>
          <w:noProof w:val="0"/>
          <w:szCs w:val="24"/>
        </w:rPr>
        <w:t xml:space="preserve"> aux amateurs de musique au moins une douzaine de concerts.</w:t>
      </w:r>
      <w:r w:rsidR="00704537">
        <w:rPr>
          <w:rFonts w:ascii="Cambria" w:hAnsi="Cambria"/>
          <w:noProof w:val="0"/>
          <w:szCs w:val="24"/>
        </w:rPr>
        <w:t xml:space="preserve"> </w:t>
      </w:r>
      <w:r w:rsidRPr="0087175A">
        <w:rPr>
          <w:rFonts w:ascii="Cambria" w:hAnsi="Cambria"/>
          <w:noProof w:val="0"/>
          <w:szCs w:val="24"/>
        </w:rPr>
        <w:t>A l’origine de sa création, l’association devait se consacrer uniquement à l’organisation de concerts de musique classique afin d’ouvrir la Polynésie française à ce style musical. Cette vocation initiale a cependant très vite évolué et la promotion de la musique auprès des jeunes est devenue aujourd’hui l’un des volets principaux des actions de l’association.</w:t>
      </w:r>
    </w:p>
    <w:p w14:paraId="11B12707" w14:textId="77777777" w:rsidR="0087175A" w:rsidRPr="0087175A" w:rsidRDefault="0087175A" w:rsidP="0087175A">
      <w:pPr>
        <w:pStyle w:val="-LettreTexteGEDA"/>
        <w:spacing w:before="0"/>
        <w:ind w:firstLine="0"/>
        <w:rPr>
          <w:rFonts w:ascii="Cambria" w:hAnsi="Cambria"/>
          <w:noProof w:val="0"/>
          <w:szCs w:val="24"/>
        </w:rPr>
      </w:pPr>
    </w:p>
    <w:p w14:paraId="33EC8CE3" w14:textId="7ADF0709" w:rsidR="0087175A" w:rsidRDefault="0087175A" w:rsidP="0087175A">
      <w:pPr>
        <w:pStyle w:val="-LettreTexteGEDA"/>
        <w:spacing w:before="0"/>
        <w:ind w:firstLine="0"/>
        <w:rPr>
          <w:rFonts w:ascii="Cambria" w:hAnsi="Cambria"/>
          <w:noProof w:val="0"/>
          <w:szCs w:val="24"/>
        </w:rPr>
      </w:pPr>
      <w:r w:rsidRPr="0087175A">
        <w:rPr>
          <w:rFonts w:ascii="Cambria" w:hAnsi="Cambria"/>
          <w:noProof w:val="0"/>
          <w:szCs w:val="24"/>
        </w:rPr>
        <w:t>Intitulé « Musique et jeunesse », ce programme a été lancé en 2014 et a pour but de développer la culture musicale de la jeune</w:t>
      </w:r>
      <w:r w:rsidR="00B00DD7">
        <w:rPr>
          <w:rFonts w:ascii="Cambria" w:hAnsi="Cambria"/>
          <w:noProof w:val="0"/>
          <w:szCs w:val="24"/>
        </w:rPr>
        <w:t>sse polynésienne,</w:t>
      </w:r>
      <w:r w:rsidRPr="0087175A">
        <w:rPr>
          <w:rFonts w:ascii="Cambria" w:hAnsi="Cambria"/>
          <w:noProof w:val="0"/>
          <w:szCs w:val="24"/>
        </w:rPr>
        <w:t xml:space="preserve"> l’objectif </w:t>
      </w:r>
      <w:r w:rsidR="00B00DD7">
        <w:rPr>
          <w:rFonts w:ascii="Cambria" w:hAnsi="Cambria"/>
          <w:noProof w:val="0"/>
          <w:szCs w:val="24"/>
        </w:rPr>
        <w:t>à terme étant</w:t>
      </w:r>
      <w:r w:rsidRPr="0087175A">
        <w:rPr>
          <w:rFonts w:ascii="Cambria" w:hAnsi="Cambria"/>
          <w:noProof w:val="0"/>
          <w:szCs w:val="24"/>
        </w:rPr>
        <w:t xml:space="preserve"> de « faire des jeunes d’aujourd’hui, les mélomanes de demain ». Ce programme tend à se pérenniser, notamment à travers des actions d’éveil ou de sensibilisation réalisées sous forme de « master class », de rencontre avec les artistes, ainsi qu’à travers une grande participation de la jeunesse à des concerts et des récitals.</w:t>
      </w:r>
      <w:r w:rsidR="00B00DD7">
        <w:rPr>
          <w:rFonts w:ascii="Cambria" w:hAnsi="Cambria"/>
          <w:noProof w:val="0"/>
          <w:szCs w:val="24"/>
        </w:rPr>
        <w:t xml:space="preserve"> </w:t>
      </w:r>
      <w:r w:rsidRPr="0087175A">
        <w:rPr>
          <w:rFonts w:ascii="Cambria" w:hAnsi="Cambria"/>
          <w:noProof w:val="0"/>
          <w:szCs w:val="24"/>
        </w:rPr>
        <w:t>Cette découverte de modes sensoriels et de sensibilités esthétiques musicales différentes contribuera à former les futurs mélomanes capables de s’ouvrir à la diversité du monde contemporain.</w:t>
      </w:r>
    </w:p>
    <w:p w14:paraId="0B027ECC" w14:textId="77777777" w:rsidR="0087175A" w:rsidRPr="0087175A" w:rsidRDefault="0087175A" w:rsidP="0087175A">
      <w:pPr>
        <w:pStyle w:val="-LettreTexteGEDA"/>
        <w:spacing w:before="0"/>
        <w:ind w:firstLine="0"/>
        <w:rPr>
          <w:rFonts w:ascii="Cambria" w:hAnsi="Cambria"/>
          <w:noProof w:val="0"/>
          <w:szCs w:val="24"/>
        </w:rPr>
      </w:pPr>
    </w:p>
    <w:p w14:paraId="14E5ADDE" w14:textId="11D2D411" w:rsidR="0087175A" w:rsidRPr="0087175A" w:rsidRDefault="0087175A" w:rsidP="0087175A">
      <w:pPr>
        <w:pStyle w:val="-LettreTexteGEDA"/>
        <w:spacing w:before="0"/>
        <w:ind w:firstLine="0"/>
        <w:rPr>
          <w:rFonts w:ascii="Cambria" w:hAnsi="Cambria"/>
          <w:noProof w:val="0"/>
          <w:szCs w:val="24"/>
        </w:rPr>
      </w:pPr>
      <w:r w:rsidRPr="0087175A">
        <w:rPr>
          <w:rFonts w:ascii="Cambria" w:hAnsi="Cambria"/>
          <w:noProof w:val="0"/>
          <w:szCs w:val="24"/>
        </w:rPr>
        <w:t>L’aide sollicitée servira à la prise en charge du transport aérien, de l’hébergement, de la restauration des artistes, de la location des salles, du matériel, ainsi que des billets pour des publics jeunes.</w:t>
      </w:r>
      <w:r w:rsidR="002D308A">
        <w:rPr>
          <w:rFonts w:ascii="Cambria" w:hAnsi="Cambria"/>
          <w:noProof w:val="0"/>
          <w:szCs w:val="24"/>
        </w:rPr>
        <w:t xml:space="preserve"> </w:t>
      </w:r>
      <w:r w:rsidRPr="0087175A">
        <w:rPr>
          <w:rFonts w:ascii="Cambria" w:hAnsi="Cambria"/>
          <w:noProof w:val="0"/>
          <w:szCs w:val="24"/>
        </w:rPr>
        <w:t xml:space="preserve">Afin de soutenir ce projet, </w:t>
      </w:r>
      <w:r w:rsidRPr="0087175A">
        <w:rPr>
          <w:rFonts w:ascii="Cambria" w:hAnsi="Cambria"/>
          <w:iCs/>
          <w:szCs w:val="24"/>
        </w:rPr>
        <w:t xml:space="preserve">le </w:t>
      </w:r>
      <w:r w:rsidRPr="0087175A">
        <w:rPr>
          <w:rFonts w:ascii="Cambria" w:hAnsi="Cambria"/>
          <w:szCs w:val="24"/>
        </w:rPr>
        <w:t>Comité d’attribution des subventions en matiè</w:t>
      </w:r>
      <w:r w:rsidR="00B00DD7">
        <w:rPr>
          <w:rFonts w:ascii="Cambria" w:hAnsi="Cambria"/>
          <w:szCs w:val="24"/>
        </w:rPr>
        <w:t xml:space="preserve">re de culture et de patrimoine </w:t>
      </w:r>
      <w:r w:rsidRPr="0087175A">
        <w:rPr>
          <w:rFonts w:ascii="Cambria" w:hAnsi="Cambria"/>
          <w:szCs w:val="24"/>
        </w:rPr>
        <w:t xml:space="preserve">a </w:t>
      </w:r>
      <w:r w:rsidR="00B00DD7">
        <w:rPr>
          <w:rFonts w:ascii="Cambria" w:hAnsi="Cambria"/>
          <w:szCs w:val="24"/>
        </w:rPr>
        <w:t xml:space="preserve">ainsi </w:t>
      </w:r>
      <w:r w:rsidR="00165A35">
        <w:rPr>
          <w:rFonts w:ascii="Cambria" w:hAnsi="Cambria"/>
          <w:szCs w:val="24"/>
        </w:rPr>
        <w:t xml:space="preserve">attribué une subvention à </w:t>
      </w:r>
      <w:r w:rsidRPr="0087175A">
        <w:rPr>
          <w:rFonts w:ascii="Cambria" w:hAnsi="Cambria"/>
          <w:szCs w:val="24"/>
        </w:rPr>
        <w:t>l’association « Musique en Polynésie ».</w:t>
      </w:r>
    </w:p>
    <w:p w14:paraId="045BB9E5" w14:textId="77777777" w:rsidR="0087175A" w:rsidRDefault="0087175A" w:rsidP="002D308A">
      <w:pPr>
        <w:rPr>
          <w:rFonts w:ascii="Cambria" w:hAnsi="Cambria"/>
        </w:rPr>
      </w:pPr>
    </w:p>
    <w:p w14:paraId="2FA2A7E2" w14:textId="77777777" w:rsidR="002D308A" w:rsidRPr="002D308A" w:rsidRDefault="002D308A" w:rsidP="002D308A">
      <w:pPr>
        <w:rPr>
          <w:rFonts w:ascii="Cambria" w:hAnsi="Cambria"/>
        </w:rPr>
      </w:pPr>
    </w:p>
    <w:p w14:paraId="1FD75DAE" w14:textId="25C74923" w:rsidR="0087175A" w:rsidRPr="002D308A" w:rsidRDefault="00165A35" w:rsidP="00165A35">
      <w:pPr>
        <w:jc w:val="both"/>
        <w:rPr>
          <w:rStyle w:val="lev"/>
          <w:rFonts w:ascii="Cambria" w:hAnsi="Cambria"/>
        </w:rPr>
      </w:pPr>
      <w:r>
        <w:rPr>
          <w:rStyle w:val="lev"/>
          <w:rFonts w:ascii="Cambria" w:hAnsi="Cambria"/>
        </w:rPr>
        <w:t>Protection de l’environnement : m</w:t>
      </w:r>
      <w:r w:rsidR="0087175A" w:rsidRPr="002D308A">
        <w:rPr>
          <w:rStyle w:val="lev"/>
          <w:rFonts w:ascii="Cambria" w:hAnsi="Cambria"/>
        </w:rPr>
        <w:t xml:space="preserve">odification </w:t>
      </w:r>
      <w:r>
        <w:rPr>
          <w:rStyle w:val="lev"/>
          <w:rFonts w:ascii="Cambria" w:hAnsi="Cambria"/>
        </w:rPr>
        <w:t>relative</w:t>
      </w:r>
      <w:r w:rsidR="0087175A" w:rsidRPr="002D308A">
        <w:rPr>
          <w:rStyle w:val="lev"/>
          <w:rFonts w:ascii="Cambria" w:hAnsi="Cambria"/>
        </w:rPr>
        <w:t xml:space="preserve"> au modèle de ca</w:t>
      </w:r>
      <w:r>
        <w:rPr>
          <w:rStyle w:val="lev"/>
          <w:rFonts w:ascii="Cambria" w:hAnsi="Cambria"/>
        </w:rPr>
        <w:t>rnet à souches de contravention</w:t>
      </w:r>
    </w:p>
    <w:p w14:paraId="24318F77" w14:textId="77777777" w:rsidR="0087175A" w:rsidRPr="002D308A" w:rsidRDefault="0087175A" w:rsidP="0087175A">
      <w:pPr>
        <w:pStyle w:val="-LettreTexteGEDA"/>
        <w:spacing w:before="0"/>
        <w:ind w:firstLine="0"/>
        <w:rPr>
          <w:rFonts w:ascii="Cambria" w:hAnsi="Cambria"/>
          <w:noProof w:val="0"/>
          <w:highlight w:val="yellow"/>
        </w:rPr>
      </w:pPr>
    </w:p>
    <w:p w14:paraId="1C598500" w14:textId="4B83A96D" w:rsidR="0087175A" w:rsidRDefault="0087175A" w:rsidP="0087175A">
      <w:pPr>
        <w:pStyle w:val="-LettreTexteGEDA"/>
        <w:spacing w:before="0"/>
        <w:ind w:firstLine="0"/>
        <w:rPr>
          <w:rFonts w:ascii="Cambria" w:hAnsi="Cambria"/>
          <w:noProof w:val="0"/>
        </w:rPr>
      </w:pPr>
      <w:r w:rsidRPr="0087175A">
        <w:rPr>
          <w:rFonts w:ascii="Cambria" w:hAnsi="Cambria"/>
          <w:noProof w:val="0"/>
        </w:rPr>
        <w:t xml:space="preserve">Par </w:t>
      </w:r>
      <w:r w:rsidR="00165A35">
        <w:rPr>
          <w:rFonts w:ascii="Cambria" w:hAnsi="Cambria"/>
          <w:noProof w:val="0"/>
        </w:rPr>
        <w:t xml:space="preserve">un </w:t>
      </w:r>
      <w:r w:rsidRPr="0087175A">
        <w:rPr>
          <w:rFonts w:ascii="Cambria" w:hAnsi="Cambria"/>
          <w:noProof w:val="0"/>
        </w:rPr>
        <w:t xml:space="preserve">arrêté du 24 décembre 2015 déterminant le montant de l’amende forfaitaire applicable aux contraventions de police prévues par le </w:t>
      </w:r>
      <w:r w:rsidR="00165A35">
        <w:rPr>
          <w:rFonts w:ascii="Cambria" w:hAnsi="Cambria"/>
          <w:noProof w:val="0"/>
        </w:rPr>
        <w:t>c</w:t>
      </w:r>
      <w:r w:rsidRPr="0087175A">
        <w:rPr>
          <w:rFonts w:ascii="Cambria" w:hAnsi="Cambria"/>
          <w:noProof w:val="0"/>
        </w:rPr>
        <w:t xml:space="preserve">ode de l’environnement et portant création des carnets à souches de contravention en matière de protection de l’environnement, le </w:t>
      </w:r>
      <w:r w:rsidR="00165A35">
        <w:rPr>
          <w:rFonts w:ascii="Cambria" w:hAnsi="Cambria"/>
          <w:noProof w:val="0"/>
        </w:rPr>
        <w:t xml:space="preserve">Conseil des ministres </w:t>
      </w:r>
      <w:r w:rsidRPr="0087175A">
        <w:rPr>
          <w:rFonts w:ascii="Cambria" w:hAnsi="Cambria"/>
          <w:noProof w:val="0"/>
        </w:rPr>
        <w:t>a intégré dans la réglementation locale le dispositif des amendes forfaitaires en matière de protection de l’environnement.</w:t>
      </w:r>
    </w:p>
    <w:p w14:paraId="4B5AC638" w14:textId="77777777" w:rsidR="0087175A" w:rsidRPr="0087175A" w:rsidRDefault="0087175A" w:rsidP="0087175A">
      <w:pPr>
        <w:pStyle w:val="-LettreTexteGEDA"/>
        <w:spacing w:before="0"/>
        <w:ind w:firstLine="0"/>
        <w:rPr>
          <w:rFonts w:ascii="Cambria" w:hAnsi="Cambria"/>
          <w:noProof w:val="0"/>
        </w:rPr>
      </w:pPr>
    </w:p>
    <w:p w14:paraId="31501064" w14:textId="1507956A" w:rsidR="0087175A" w:rsidRDefault="0087175A" w:rsidP="0087175A">
      <w:pPr>
        <w:pStyle w:val="-LettreTexteGEDA"/>
        <w:spacing w:before="0"/>
        <w:ind w:firstLine="0"/>
        <w:rPr>
          <w:rFonts w:ascii="Cambria" w:hAnsi="Cambria"/>
          <w:noProof w:val="0"/>
        </w:rPr>
      </w:pPr>
      <w:r w:rsidRPr="0087175A">
        <w:rPr>
          <w:rFonts w:ascii="Cambria" w:hAnsi="Cambria"/>
          <w:noProof w:val="0"/>
        </w:rPr>
        <w:t>Pour rappel, le principe de l’amende forfaitaire est prévu par l’article 94 de la loi organique du 27 février 2004 portant statut d’autonomie de la Polynésie française en ces termes : «</w:t>
      </w:r>
      <w:r w:rsidRPr="0087175A">
        <w:rPr>
          <w:rFonts w:ascii="Cambria" w:hAnsi="Cambria"/>
          <w:i/>
          <w:noProof w:val="0"/>
        </w:rPr>
        <w:t>le Conseil des Ministres peut assortir les infractions aux réglementations qu’il édicte dans les matières relevant de sa compétence de sanctions administratives ainsi que d’</w:t>
      </w:r>
      <w:r w:rsidRPr="0087175A">
        <w:rPr>
          <w:rFonts w:ascii="Cambria" w:hAnsi="Cambria"/>
          <w:b/>
          <w:i/>
          <w:noProof w:val="0"/>
        </w:rPr>
        <w:t>amendes</w:t>
      </w:r>
      <w:r w:rsidRPr="0087175A">
        <w:rPr>
          <w:rFonts w:ascii="Cambria" w:hAnsi="Cambria"/>
          <w:i/>
          <w:noProof w:val="0"/>
        </w:rPr>
        <w:t xml:space="preserve"> </w:t>
      </w:r>
      <w:r w:rsidRPr="0087175A">
        <w:rPr>
          <w:rFonts w:ascii="Cambria" w:hAnsi="Cambria"/>
          <w:b/>
          <w:i/>
          <w:noProof w:val="0"/>
        </w:rPr>
        <w:t>forfaitaires</w:t>
      </w:r>
      <w:r w:rsidRPr="0087175A">
        <w:rPr>
          <w:rFonts w:ascii="Cambria" w:hAnsi="Cambria"/>
          <w:noProof w:val="0"/>
        </w:rPr>
        <w:t>,</w:t>
      </w:r>
      <w:r w:rsidRPr="0087175A">
        <w:rPr>
          <w:rFonts w:ascii="Cambria" w:hAnsi="Cambria"/>
          <w:i/>
          <w:noProof w:val="0"/>
        </w:rPr>
        <w:t xml:space="preserve"> dans le cadre défini par le code de procédure pénale, et de peines contraventionnelles, n’excédant pas le maximum prévu pour des infractions de même nature par les lois et règlements applicables en matière pénale. Le produit des amendes est versé au budget de la Polynésie française </w:t>
      </w:r>
      <w:r w:rsidRPr="0087175A">
        <w:rPr>
          <w:rFonts w:ascii="Cambria" w:hAnsi="Cambria"/>
          <w:noProof w:val="0"/>
        </w:rPr>
        <w:t>».</w:t>
      </w:r>
    </w:p>
    <w:p w14:paraId="747323F0" w14:textId="77777777" w:rsidR="0087175A" w:rsidRPr="0087175A" w:rsidRDefault="0087175A" w:rsidP="0087175A">
      <w:pPr>
        <w:pStyle w:val="-LettreTexteGEDA"/>
        <w:spacing w:before="0"/>
        <w:ind w:firstLine="0"/>
        <w:rPr>
          <w:rFonts w:ascii="Cambria" w:hAnsi="Cambria"/>
          <w:noProof w:val="0"/>
        </w:rPr>
      </w:pPr>
    </w:p>
    <w:p w14:paraId="6791996D" w14:textId="77777777" w:rsidR="0087175A" w:rsidRDefault="0087175A" w:rsidP="0087175A">
      <w:pPr>
        <w:pStyle w:val="-LettreTexteGEDA"/>
        <w:spacing w:before="0"/>
        <w:ind w:firstLine="0"/>
        <w:rPr>
          <w:rFonts w:ascii="Cambria" w:hAnsi="Cambria"/>
          <w:noProof w:val="0"/>
        </w:rPr>
      </w:pPr>
      <w:r w:rsidRPr="0087175A">
        <w:rPr>
          <w:rFonts w:ascii="Cambria" w:hAnsi="Cambria"/>
          <w:noProof w:val="0"/>
        </w:rPr>
        <w:t>Ainsi, l’article 529 du code de procédure pénale, applicable en Polynésie française, prévoit que « </w:t>
      </w:r>
      <w:r w:rsidRPr="0087175A">
        <w:rPr>
          <w:rFonts w:ascii="Cambria" w:hAnsi="Cambria"/>
          <w:i/>
          <w:noProof w:val="0"/>
        </w:rPr>
        <w:t xml:space="preserve">pour les contraventions aux réglementations applicables localement en matière de circulation routière, d’assurances, de chasse, de pêche, </w:t>
      </w:r>
      <w:r w:rsidRPr="0087175A">
        <w:rPr>
          <w:rFonts w:ascii="Cambria" w:hAnsi="Cambria"/>
          <w:b/>
          <w:i/>
          <w:noProof w:val="0"/>
        </w:rPr>
        <w:t>de protection de l’environnement</w:t>
      </w:r>
      <w:r w:rsidRPr="0087175A">
        <w:rPr>
          <w:rFonts w:ascii="Cambria" w:hAnsi="Cambria"/>
          <w:i/>
          <w:noProof w:val="0"/>
        </w:rPr>
        <w:t>, de droit de la consommation, de la sécurité en mer, de réglementation sur les débits de boissons ou l’ivresse publique manifeste et d’écobuage, qui sont punies seulement d’une peine d’amende, l’action publique est éteinte par le paiement d’une amende forfaitaire qui est exclusive de l’application des</w:t>
      </w:r>
      <w:r w:rsidRPr="0087175A">
        <w:rPr>
          <w:rFonts w:ascii="Cambria" w:hAnsi="Cambria"/>
          <w:noProof w:val="0"/>
        </w:rPr>
        <w:t xml:space="preserve"> </w:t>
      </w:r>
      <w:r w:rsidRPr="0087175A">
        <w:rPr>
          <w:rFonts w:ascii="Cambria" w:hAnsi="Cambria"/>
          <w:i/>
          <w:noProof w:val="0"/>
        </w:rPr>
        <w:t>règles de la récidive</w:t>
      </w:r>
      <w:r w:rsidRPr="0087175A">
        <w:rPr>
          <w:rFonts w:ascii="Cambria" w:hAnsi="Cambria"/>
          <w:noProof w:val="0"/>
        </w:rPr>
        <w:t> ».</w:t>
      </w:r>
    </w:p>
    <w:p w14:paraId="0036A6FA" w14:textId="77777777" w:rsidR="0087175A" w:rsidRPr="0087175A" w:rsidRDefault="0087175A" w:rsidP="0087175A">
      <w:pPr>
        <w:pStyle w:val="-LettreTexteGEDA"/>
        <w:spacing w:before="0"/>
        <w:ind w:firstLine="0"/>
        <w:rPr>
          <w:rFonts w:ascii="Cambria" w:hAnsi="Cambria"/>
          <w:noProof w:val="0"/>
        </w:rPr>
      </w:pPr>
    </w:p>
    <w:p w14:paraId="57B7E747" w14:textId="5EFBBCAD" w:rsidR="0087175A" w:rsidRDefault="0087175A" w:rsidP="0087175A">
      <w:pPr>
        <w:pStyle w:val="-LettreTexteGEDA"/>
        <w:spacing w:before="0"/>
        <w:ind w:firstLine="0"/>
        <w:rPr>
          <w:rFonts w:ascii="Cambria" w:hAnsi="Cambria"/>
          <w:noProof w:val="0"/>
        </w:rPr>
      </w:pPr>
      <w:r w:rsidRPr="0087175A">
        <w:rPr>
          <w:rFonts w:ascii="Cambria" w:hAnsi="Cambria"/>
          <w:noProof w:val="0"/>
        </w:rPr>
        <w:t>Dès lors, les sanctions pénales relevant des quatre premières classes, prévues en matière de protection de l’environnement par la réglementation polynésienne, peuvent faire l’objet de la procédure de l’amende forfaitaire.</w:t>
      </w:r>
      <w:r w:rsidR="00165A35">
        <w:rPr>
          <w:rFonts w:ascii="Cambria" w:hAnsi="Cambria"/>
          <w:noProof w:val="0"/>
        </w:rPr>
        <w:t xml:space="preserve"> </w:t>
      </w:r>
      <w:r w:rsidRPr="0087175A">
        <w:rPr>
          <w:rFonts w:ascii="Cambria" w:hAnsi="Cambria"/>
          <w:noProof w:val="0"/>
        </w:rPr>
        <w:t xml:space="preserve">Toutefois, si des dispositions pénales pouvant </w:t>
      </w:r>
      <w:proofErr w:type="gramStart"/>
      <w:r w:rsidRPr="0087175A">
        <w:rPr>
          <w:rFonts w:ascii="Cambria" w:hAnsi="Cambria"/>
          <w:noProof w:val="0"/>
        </w:rPr>
        <w:t>relever</w:t>
      </w:r>
      <w:proofErr w:type="gramEnd"/>
      <w:r w:rsidRPr="0087175A">
        <w:rPr>
          <w:rFonts w:ascii="Cambria" w:hAnsi="Cambria"/>
          <w:noProof w:val="0"/>
        </w:rPr>
        <w:t xml:space="preserve"> de la procédure d’amende forfaitaire existaient déjà dans le code de l’environnement de la Polynésie française, leur champ d’application se limitait aux espaces protégés.</w:t>
      </w:r>
    </w:p>
    <w:p w14:paraId="4BB070CE" w14:textId="77777777" w:rsidR="0087175A" w:rsidRPr="0087175A" w:rsidRDefault="0087175A" w:rsidP="0087175A">
      <w:pPr>
        <w:pStyle w:val="-LettreTexteGEDA"/>
        <w:spacing w:before="0"/>
        <w:ind w:firstLine="0"/>
        <w:rPr>
          <w:rFonts w:ascii="Cambria" w:hAnsi="Cambria"/>
          <w:noProof w:val="0"/>
        </w:rPr>
      </w:pPr>
    </w:p>
    <w:p w14:paraId="45307239" w14:textId="74687E01" w:rsidR="0087175A" w:rsidRDefault="0087175A" w:rsidP="0087175A">
      <w:pPr>
        <w:pStyle w:val="-LettreTexteGEDA"/>
        <w:spacing w:before="0"/>
        <w:ind w:firstLine="0"/>
        <w:rPr>
          <w:rFonts w:ascii="Cambria" w:hAnsi="Cambria"/>
          <w:noProof w:val="0"/>
        </w:rPr>
      </w:pPr>
      <w:r w:rsidRPr="0087175A">
        <w:rPr>
          <w:rFonts w:ascii="Cambria" w:hAnsi="Cambria"/>
          <w:noProof w:val="0"/>
        </w:rPr>
        <w:t xml:space="preserve">La loi du </w:t>
      </w:r>
      <w:r w:rsidR="00165A35">
        <w:rPr>
          <w:rFonts w:ascii="Cambria" w:hAnsi="Cambria"/>
          <w:noProof w:val="0"/>
        </w:rPr>
        <w:t>P</w:t>
      </w:r>
      <w:r w:rsidRPr="0087175A">
        <w:rPr>
          <w:rFonts w:ascii="Cambria" w:hAnsi="Cambria"/>
          <w:noProof w:val="0"/>
        </w:rPr>
        <w:t>ays du 14 avril 2016 portant modification du code de l'environnement a alors introduit dans la réglementation locale des dispositions pénales relatives au bruit, au traitement des déchets et à la liberté de circulation.</w:t>
      </w:r>
    </w:p>
    <w:p w14:paraId="4AE45A37" w14:textId="77777777" w:rsidR="0087175A" w:rsidRPr="0087175A" w:rsidRDefault="0087175A" w:rsidP="0087175A">
      <w:pPr>
        <w:pStyle w:val="-LettreTexteGEDA"/>
        <w:spacing w:before="0"/>
        <w:ind w:firstLine="0"/>
        <w:rPr>
          <w:rFonts w:ascii="Cambria" w:hAnsi="Cambria"/>
          <w:noProof w:val="0"/>
        </w:rPr>
      </w:pPr>
    </w:p>
    <w:p w14:paraId="6E9ACFF8" w14:textId="77777777" w:rsidR="0087175A" w:rsidRPr="0087175A" w:rsidRDefault="0087175A" w:rsidP="00165A35">
      <w:pPr>
        <w:pStyle w:val="-LettreTexteGEDA"/>
        <w:spacing w:before="0"/>
        <w:ind w:firstLine="0"/>
        <w:rPr>
          <w:rFonts w:ascii="Cambria" w:hAnsi="Cambria"/>
          <w:noProof w:val="0"/>
        </w:rPr>
      </w:pPr>
      <w:r w:rsidRPr="0087175A">
        <w:rPr>
          <w:rFonts w:ascii="Cambria" w:hAnsi="Cambria"/>
          <w:noProof w:val="0"/>
        </w:rPr>
        <w:t>Depuis lors, la procédure d’amende forfaitaire s’étend à l’ensemble de dispositions pénales suivantes :</w:t>
      </w:r>
    </w:p>
    <w:p w14:paraId="44294013" w14:textId="77777777" w:rsidR="0087175A" w:rsidRPr="0087175A" w:rsidRDefault="0087175A" w:rsidP="0087175A">
      <w:pPr>
        <w:pStyle w:val="-LettreTexteGEDA"/>
        <w:spacing w:before="0"/>
        <w:ind w:firstLine="0"/>
        <w:rPr>
          <w:rFonts w:ascii="Cambria" w:hAnsi="Cambria"/>
          <w:noProof w:val="0"/>
        </w:rPr>
      </w:pPr>
    </w:p>
    <w:tbl>
      <w:tblPr>
        <w:tblW w:w="9640" w:type="dxa"/>
        <w:tblInd w:w="55" w:type="dxa"/>
        <w:tblCellMar>
          <w:left w:w="70" w:type="dxa"/>
          <w:right w:w="70" w:type="dxa"/>
        </w:tblCellMar>
        <w:tblLook w:val="04A0" w:firstRow="1" w:lastRow="0" w:firstColumn="1" w:lastColumn="0" w:noHBand="0" w:noVBand="1"/>
      </w:tblPr>
      <w:tblGrid>
        <w:gridCol w:w="1760"/>
        <w:gridCol w:w="1657"/>
        <w:gridCol w:w="1560"/>
        <w:gridCol w:w="1984"/>
        <w:gridCol w:w="2679"/>
      </w:tblGrid>
      <w:tr w:rsidR="0087175A" w:rsidRPr="0087175A" w14:paraId="7CA1780E" w14:textId="77777777" w:rsidTr="0087175A">
        <w:trPr>
          <w:trHeight w:val="315"/>
        </w:trPr>
        <w:tc>
          <w:tcPr>
            <w:tcW w:w="9640" w:type="dxa"/>
            <w:gridSpan w:val="5"/>
            <w:tcBorders>
              <w:top w:val="single" w:sz="4" w:space="0" w:color="000000"/>
              <w:left w:val="single" w:sz="4" w:space="0" w:color="000000"/>
              <w:bottom w:val="single" w:sz="4" w:space="0" w:color="000000"/>
              <w:right w:val="single" w:sz="4" w:space="0" w:color="000000"/>
            </w:tcBorders>
            <w:vAlign w:val="bottom"/>
            <w:hideMark/>
          </w:tcPr>
          <w:p w14:paraId="7D8BF0CA" w14:textId="77777777" w:rsidR="0087175A" w:rsidRPr="0087175A" w:rsidRDefault="0087175A" w:rsidP="0087175A">
            <w:pPr>
              <w:jc w:val="center"/>
              <w:rPr>
                <w:rFonts w:ascii="Cambria" w:hAnsi="Cambria"/>
                <w:b/>
                <w:bCs/>
                <w:color w:val="000000"/>
              </w:rPr>
            </w:pPr>
            <w:r w:rsidRPr="0087175A">
              <w:rPr>
                <w:rFonts w:ascii="Cambria" w:hAnsi="Cambria"/>
                <w:b/>
                <w:bCs/>
                <w:color w:val="000000"/>
              </w:rPr>
              <w:t>Montants des amendes en matière d'environnement</w:t>
            </w:r>
          </w:p>
        </w:tc>
      </w:tr>
      <w:tr w:rsidR="0087175A" w:rsidRPr="0087175A" w14:paraId="0A5D005D" w14:textId="77777777" w:rsidTr="0087175A">
        <w:trPr>
          <w:trHeight w:val="300"/>
        </w:trPr>
        <w:tc>
          <w:tcPr>
            <w:tcW w:w="1760" w:type="dxa"/>
            <w:vMerge w:val="restart"/>
            <w:tcBorders>
              <w:top w:val="nil"/>
              <w:left w:val="single" w:sz="4" w:space="0" w:color="000000"/>
              <w:bottom w:val="single" w:sz="4" w:space="0" w:color="000000"/>
              <w:right w:val="single" w:sz="4" w:space="0" w:color="000000"/>
            </w:tcBorders>
            <w:vAlign w:val="bottom"/>
            <w:hideMark/>
          </w:tcPr>
          <w:p w14:paraId="5987A8E5" w14:textId="77777777" w:rsidR="0087175A" w:rsidRPr="0087175A" w:rsidRDefault="0087175A" w:rsidP="0087175A">
            <w:pPr>
              <w:jc w:val="center"/>
              <w:rPr>
                <w:rFonts w:ascii="Cambria" w:hAnsi="Cambria"/>
                <w:b/>
                <w:bCs/>
                <w:color w:val="000000"/>
              </w:rPr>
            </w:pPr>
            <w:r w:rsidRPr="0087175A">
              <w:rPr>
                <w:rFonts w:ascii="Cambria" w:hAnsi="Cambria"/>
                <w:b/>
                <w:bCs/>
                <w:color w:val="000000"/>
              </w:rPr>
              <w:t>Nature de la contravention</w:t>
            </w:r>
            <w:r w:rsidRPr="0087175A">
              <w:rPr>
                <w:rFonts w:ascii="Cambria" w:hAnsi="Cambria"/>
                <w:color w:val="000000"/>
              </w:rPr>
              <w:t xml:space="preserve"> </w:t>
            </w:r>
          </w:p>
        </w:tc>
        <w:tc>
          <w:tcPr>
            <w:tcW w:w="1657" w:type="dxa"/>
            <w:vMerge w:val="restart"/>
            <w:tcBorders>
              <w:top w:val="nil"/>
              <w:left w:val="single" w:sz="4" w:space="0" w:color="000000"/>
              <w:bottom w:val="single" w:sz="4" w:space="0" w:color="000000"/>
              <w:right w:val="single" w:sz="4" w:space="0" w:color="000000"/>
            </w:tcBorders>
            <w:vAlign w:val="bottom"/>
            <w:hideMark/>
          </w:tcPr>
          <w:p w14:paraId="4467441D"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Amende forfaitaire minorée</w:t>
            </w:r>
            <w:r w:rsidRPr="0087175A">
              <w:rPr>
                <w:rFonts w:ascii="Cambria" w:hAnsi="Cambria"/>
                <w:b/>
                <w:bCs/>
                <w:color w:val="000000"/>
                <w:vertAlign w:val="superscript"/>
              </w:rPr>
              <w:t>(1)</w:t>
            </w:r>
            <w:r w:rsidRPr="0087175A">
              <w:rPr>
                <w:rFonts w:ascii="Cambria" w:hAnsi="Cambria"/>
                <w:color w:val="000000"/>
              </w:rPr>
              <w:t xml:space="preserve"> </w:t>
            </w:r>
          </w:p>
        </w:tc>
        <w:tc>
          <w:tcPr>
            <w:tcW w:w="1560" w:type="dxa"/>
            <w:vMerge w:val="restart"/>
            <w:tcBorders>
              <w:top w:val="nil"/>
              <w:left w:val="single" w:sz="4" w:space="0" w:color="000000"/>
              <w:bottom w:val="single" w:sz="4" w:space="0" w:color="000000"/>
              <w:right w:val="single" w:sz="4" w:space="0" w:color="000000"/>
            </w:tcBorders>
            <w:vAlign w:val="bottom"/>
            <w:hideMark/>
          </w:tcPr>
          <w:p w14:paraId="48ACEE17"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Amende forfaitaire</w:t>
            </w:r>
            <w:r w:rsidRPr="0087175A">
              <w:rPr>
                <w:rFonts w:ascii="Cambria" w:hAnsi="Cambria"/>
                <w:b/>
                <w:bCs/>
                <w:color w:val="000000"/>
                <w:vertAlign w:val="superscript"/>
              </w:rPr>
              <w:t>(2)</w:t>
            </w:r>
          </w:p>
        </w:tc>
        <w:tc>
          <w:tcPr>
            <w:tcW w:w="1984" w:type="dxa"/>
            <w:vMerge w:val="restart"/>
            <w:tcBorders>
              <w:top w:val="nil"/>
              <w:left w:val="single" w:sz="4" w:space="0" w:color="000000"/>
              <w:bottom w:val="single" w:sz="4" w:space="0" w:color="000000"/>
              <w:right w:val="single" w:sz="4" w:space="0" w:color="000000"/>
            </w:tcBorders>
            <w:vAlign w:val="bottom"/>
            <w:hideMark/>
          </w:tcPr>
          <w:p w14:paraId="2D36D53A"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Amende forfaitaire majorée</w:t>
            </w:r>
            <w:r w:rsidRPr="0087175A">
              <w:rPr>
                <w:rFonts w:ascii="Cambria" w:hAnsi="Cambria"/>
                <w:b/>
                <w:bCs/>
                <w:color w:val="000000"/>
                <w:vertAlign w:val="superscript"/>
              </w:rPr>
              <w:t>(3)</w:t>
            </w:r>
            <w:r w:rsidRPr="0087175A">
              <w:rPr>
                <w:rFonts w:ascii="Cambria" w:hAnsi="Cambria"/>
                <w:color w:val="000000"/>
              </w:rPr>
              <w:t xml:space="preserve"> </w:t>
            </w:r>
          </w:p>
        </w:tc>
        <w:tc>
          <w:tcPr>
            <w:tcW w:w="2679" w:type="dxa"/>
            <w:vMerge w:val="restart"/>
            <w:tcBorders>
              <w:top w:val="nil"/>
              <w:left w:val="single" w:sz="4" w:space="0" w:color="000000"/>
              <w:bottom w:val="single" w:sz="4" w:space="0" w:color="000000"/>
              <w:right w:val="single" w:sz="4" w:space="0" w:color="000000"/>
            </w:tcBorders>
            <w:vAlign w:val="bottom"/>
            <w:hideMark/>
          </w:tcPr>
          <w:p w14:paraId="2B9EE8FD"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Amende pénale</w:t>
            </w:r>
            <w:r w:rsidRPr="0087175A">
              <w:rPr>
                <w:rFonts w:ascii="Cambria" w:hAnsi="Cambria"/>
                <w:color w:val="000000"/>
              </w:rPr>
              <w:t xml:space="preserve"> </w:t>
            </w:r>
          </w:p>
        </w:tc>
      </w:tr>
      <w:tr w:rsidR="0087175A" w:rsidRPr="0087175A" w14:paraId="4EE5F677" w14:textId="77777777" w:rsidTr="0087175A">
        <w:trPr>
          <w:trHeight w:val="300"/>
        </w:trPr>
        <w:tc>
          <w:tcPr>
            <w:tcW w:w="0" w:type="auto"/>
            <w:vMerge/>
            <w:tcBorders>
              <w:top w:val="nil"/>
              <w:left w:val="single" w:sz="4" w:space="0" w:color="000000"/>
              <w:bottom w:val="single" w:sz="4" w:space="0" w:color="000000"/>
              <w:right w:val="single" w:sz="4" w:space="0" w:color="000000"/>
            </w:tcBorders>
            <w:vAlign w:val="center"/>
            <w:hideMark/>
          </w:tcPr>
          <w:p w14:paraId="2CE3AA15" w14:textId="77777777" w:rsidR="0087175A" w:rsidRPr="0087175A" w:rsidRDefault="0087175A" w:rsidP="0087175A">
            <w:pPr>
              <w:rPr>
                <w:rFonts w:ascii="Cambria" w:hAnsi="Cambria"/>
                <w:b/>
                <w:bCs/>
                <w:color w:val="000000"/>
              </w:rPr>
            </w:pPr>
          </w:p>
        </w:tc>
        <w:tc>
          <w:tcPr>
            <w:tcW w:w="0" w:type="auto"/>
            <w:vMerge/>
            <w:tcBorders>
              <w:top w:val="nil"/>
              <w:left w:val="single" w:sz="4" w:space="0" w:color="000000"/>
              <w:bottom w:val="single" w:sz="4" w:space="0" w:color="000000"/>
              <w:right w:val="single" w:sz="4" w:space="0" w:color="000000"/>
            </w:tcBorders>
            <w:vAlign w:val="center"/>
            <w:hideMark/>
          </w:tcPr>
          <w:p w14:paraId="3500A73E" w14:textId="77777777" w:rsidR="0087175A" w:rsidRPr="0087175A" w:rsidRDefault="0087175A" w:rsidP="0087175A">
            <w:pPr>
              <w:rPr>
                <w:rFonts w:ascii="Cambria" w:hAnsi="Cambria"/>
                <w:b/>
                <w:bCs/>
                <w:color w:val="000000"/>
              </w:rPr>
            </w:pPr>
          </w:p>
        </w:tc>
        <w:tc>
          <w:tcPr>
            <w:tcW w:w="0" w:type="auto"/>
            <w:vMerge/>
            <w:tcBorders>
              <w:top w:val="nil"/>
              <w:left w:val="single" w:sz="4" w:space="0" w:color="000000"/>
              <w:bottom w:val="single" w:sz="4" w:space="0" w:color="000000"/>
              <w:right w:val="single" w:sz="4" w:space="0" w:color="000000"/>
            </w:tcBorders>
            <w:vAlign w:val="center"/>
            <w:hideMark/>
          </w:tcPr>
          <w:p w14:paraId="751CD787" w14:textId="77777777" w:rsidR="0087175A" w:rsidRPr="0087175A" w:rsidRDefault="0087175A" w:rsidP="0087175A">
            <w:pPr>
              <w:rPr>
                <w:rFonts w:ascii="Cambria" w:hAnsi="Cambria"/>
                <w:b/>
                <w:bCs/>
                <w:color w:val="000000"/>
              </w:rPr>
            </w:pPr>
          </w:p>
        </w:tc>
        <w:tc>
          <w:tcPr>
            <w:tcW w:w="0" w:type="auto"/>
            <w:vMerge/>
            <w:tcBorders>
              <w:top w:val="nil"/>
              <w:left w:val="single" w:sz="4" w:space="0" w:color="000000"/>
              <w:bottom w:val="single" w:sz="4" w:space="0" w:color="000000"/>
              <w:right w:val="single" w:sz="4" w:space="0" w:color="000000"/>
            </w:tcBorders>
            <w:vAlign w:val="center"/>
            <w:hideMark/>
          </w:tcPr>
          <w:p w14:paraId="6E85465C" w14:textId="77777777" w:rsidR="0087175A" w:rsidRPr="0087175A" w:rsidRDefault="0087175A" w:rsidP="0087175A">
            <w:pPr>
              <w:rPr>
                <w:rFonts w:ascii="Cambria" w:hAnsi="Cambria"/>
                <w:b/>
                <w:bCs/>
                <w:color w:val="000000"/>
              </w:rPr>
            </w:pPr>
          </w:p>
        </w:tc>
        <w:tc>
          <w:tcPr>
            <w:tcW w:w="0" w:type="auto"/>
            <w:vMerge/>
            <w:tcBorders>
              <w:top w:val="nil"/>
              <w:left w:val="single" w:sz="4" w:space="0" w:color="000000"/>
              <w:bottom w:val="single" w:sz="4" w:space="0" w:color="000000"/>
              <w:right w:val="single" w:sz="4" w:space="0" w:color="000000"/>
            </w:tcBorders>
            <w:vAlign w:val="center"/>
            <w:hideMark/>
          </w:tcPr>
          <w:p w14:paraId="09E91C0E" w14:textId="77777777" w:rsidR="0087175A" w:rsidRPr="0087175A" w:rsidRDefault="0087175A" w:rsidP="0087175A">
            <w:pPr>
              <w:rPr>
                <w:rFonts w:ascii="Cambria" w:hAnsi="Cambria"/>
                <w:b/>
                <w:bCs/>
                <w:color w:val="000000"/>
              </w:rPr>
            </w:pPr>
          </w:p>
        </w:tc>
      </w:tr>
      <w:tr w:rsidR="0087175A" w:rsidRPr="0087175A" w14:paraId="26C849FC" w14:textId="77777777" w:rsidTr="0087175A">
        <w:trPr>
          <w:trHeight w:val="375"/>
        </w:trPr>
        <w:tc>
          <w:tcPr>
            <w:tcW w:w="1760" w:type="dxa"/>
            <w:tcBorders>
              <w:top w:val="nil"/>
              <w:left w:val="single" w:sz="4" w:space="0" w:color="000000"/>
              <w:bottom w:val="single" w:sz="4" w:space="0" w:color="000000"/>
              <w:right w:val="single" w:sz="4" w:space="0" w:color="000000"/>
            </w:tcBorders>
            <w:vAlign w:val="bottom"/>
            <w:hideMark/>
          </w:tcPr>
          <w:p w14:paraId="672D019A" w14:textId="77777777" w:rsidR="0087175A" w:rsidRPr="0087175A" w:rsidRDefault="0087175A" w:rsidP="0087175A">
            <w:pPr>
              <w:jc w:val="center"/>
              <w:rPr>
                <w:rFonts w:ascii="Cambria" w:hAnsi="Cambria"/>
                <w:b/>
                <w:bCs/>
                <w:color w:val="000000"/>
              </w:rPr>
            </w:pPr>
            <w:r w:rsidRPr="0087175A">
              <w:rPr>
                <w:rFonts w:ascii="Cambria" w:hAnsi="Cambria"/>
                <w:b/>
                <w:bCs/>
                <w:color w:val="000000"/>
              </w:rPr>
              <w:t>1</w:t>
            </w:r>
            <w:r w:rsidRPr="0087175A">
              <w:rPr>
                <w:rFonts w:ascii="Cambria" w:hAnsi="Cambria"/>
                <w:b/>
                <w:bCs/>
                <w:color w:val="000000"/>
                <w:vertAlign w:val="superscript"/>
              </w:rPr>
              <w:t>ère</w:t>
            </w:r>
            <w:r w:rsidRPr="0087175A">
              <w:rPr>
                <w:rFonts w:ascii="Cambria" w:hAnsi="Cambria"/>
                <w:b/>
                <w:bCs/>
                <w:color w:val="000000"/>
              </w:rPr>
              <w:t xml:space="preserve"> classe</w:t>
            </w:r>
            <w:r w:rsidRPr="0087175A">
              <w:rPr>
                <w:rFonts w:ascii="Cambria" w:hAnsi="Cambria"/>
                <w:color w:val="000000"/>
              </w:rPr>
              <w:t xml:space="preserve"> </w:t>
            </w:r>
          </w:p>
        </w:tc>
        <w:tc>
          <w:tcPr>
            <w:tcW w:w="1657" w:type="dxa"/>
            <w:tcBorders>
              <w:top w:val="nil"/>
              <w:left w:val="nil"/>
              <w:bottom w:val="single" w:sz="4" w:space="0" w:color="000000"/>
              <w:right w:val="single" w:sz="4" w:space="0" w:color="000000"/>
            </w:tcBorders>
            <w:vAlign w:val="bottom"/>
            <w:hideMark/>
          </w:tcPr>
          <w:p w14:paraId="44A370FF" w14:textId="77777777" w:rsidR="0087175A" w:rsidRPr="0087175A" w:rsidRDefault="0087175A" w:rsidP="0087175A">
            <w:pPr>
              <w:jc w:val="center"/>
              <w:rPr>
                <w:rFonts w:ascii="Cambria" w:hAnsi="Cambria"/>
                <w:color w:val="000000"/>
              </w:rPr>
            </w:pPr>
            <w:r w:rsidRPr="0087175A">
              <w:rPr>
                <w:rFonts w:ascii="Cambria" w:hAnsi="Cambria"/>
                <w:color w:val="000000"/>
              </w:rPr>
              <w:t xml:space="preserve">néant </w:t>
            </w:r>
          </w:p>
        </w:tc>
        <w:tc>
          <w:tcPr>
            <w:tcW w:w="1560" w:type="dxa"/>
            <w:tcBorders>
              <w:top w:val="nil"/>
              <w:left w:val="nil"/>
              <w:bottom w:val="single" w:sz="4" w:space="0" w:color="000000"/>
              <w:right w:val="single" w:sz="4" w:space="0" w:color="000000"/>
            </w:tcBorders>
            <w:vAlign w:val="bottom"/>
            <w:hideMark/>
          </w:tcPr>
          <w:p w14:paraId="4D32D0BC" w14:textId="77777777" w:rsidR="0087175A" w:rsidRPr="0087175A" w:rsidRDefault="0087175A" w:rsidP="0087175A">
            <w:pPr>
              <w:jc w:val="center"/>
              <w:rPr>
                <w:rFonts w:ascii="Cambria" w:hAnsi="Cambria"/>
                <w:color w:val="000000"/>
              </w:rPr>
            </w:pPr>
            <w:r w:rsidRPr="0087175A">
              <w:rPr>
                <w:rFonts w:ascii="Cambria" w:hAnsi="Cambria"/>
                <w:color w:val="000000"/>
              </w:rPr>
              <w:t>1 300</w:t>
            </w:r>
          </w:p>
        </w:tc>
        <w:tc>
          <w:tcPr>
            <w:tcW w:w="1984" w:type="dxa"/>
            <w:tcBorders>
              <w:top w:val="nil"/>
              <w:left w:val="nil"/>
              <w:bottom w:val="single" w:sz="4" w:space="0" w:color="000000"/>
              <w:right w:val="single" w:sz="4" w:space="0" w:color="000000"/>
            </w:tcBorders>
            <w:vAlign w:val="bottom"/>
            <w:hideMark/>
          </w:tcPr>
          <w:p w14:paraId="317E9DEE" w14:textId="77777777" w:rsidR="0087175A" w:rsidRPr="0087175A" w:rsidRDefault="0087175A" w:rsidP="0087175A">
            <w:pPr>
              <w:jc w:val="center"/>
              <w:rPr>
                <w:rFonts w:ascii="Cambria" w:hAnsi="Cambria"/>
                <w:color w:val="000000"/>
              </w:rPr>
            </w:pPr>
            <w:r w:rsidRPr="0087175A">
              <w:rPr>
                <w:rFonts w:ascii="Cambria" w:hAnsi="Cambria"/>
                <w:color w:val="000000"/>
              </w:rPr>
              <w:t>3 900</w:t>
            </w:r>
          </w:p>
        </w:tc>
        <w:tc>
          <w:tcPr>
            <w:tcW w:w="2679" w:type="dxa"/>
            <w:tcBorders>
              <w:top w:val="nil"/>
              <w:left w:val="nil"/>
              <w:bottom w:val="single" w:sz="4" w:space="0" w:color="000000"/>
              <w:right w:val="single" w:sz="4" w:space="0" w:color="000000"/>
            </w:tcBorders>
            <w:vAlign w:val="bottom"/>
            <w:hideMark/>
          </w:tcPr>
          <w:p w14:paraId="617D80EF" w14:textId="77777777" w:rsidR="0087175A" w:rsidRPr="0087175A" w:rsidRDefault="0087175A" w:rsidP="0087175A">
            <w:pPr>
              <w:jc w:val="center"/>
              <w:rPr>
                <w:rFonts w:ascii="Cambria" w:hAnsi="Cambria"/>
                <w:color w:val="000000"/>
              </w:rPr>
            </w:pPr>
            <w:r w:rsidRPr="0087175A">
              <w:rPr>
                <w:rFonts w:ascii="Cambria" w:hAnsi="Cambria"/>
                <w:color w:val="000000"/>
              </w:rPr>
              <w:t>38 € (4.534,61 F CFP)</w:t>
            </w:r>
          </w:p>
        </w:tc>
      </w:tr>
      <w:tr w:rsidR="0087175A" w:rsidRPr="0087175A" w14:paraId="358F235B" w14:textId="77777777" w:rsidTr="0087175A">
        <w:trPr>
          <w:trHeight w:val="375"/>
        </w:trPr>
        <w:tc>
          <w:tcPr>
            <w:tcW w:w="1760" w:type="dxa"/>
            <w:tcBorders>
              <w:top w:val="nil"/>
              <w:left w:val="single" w:sz="4" w:space="0" w:color="000000"/>
              <w:bottom w:val="single" w:sz="4" w:space="0" w:color="000000"/>
              <w:right w:val="single" w:sz="4" w:space="0" w:color="000000"/>
            </w:tcBorders>
            <w:vAlign w:val="bottom"/>
            <w:hideMark/>
          </w:tcPr>
          <w:p w14:paraId="6CCB175E" w14:textId="77777777" w:rsidR="0087175A" w:rsidRPr="0087175A" w:rsidRDefault="0087175A" w:rsidP="0087175A">
            <w:pPr>
              <w:jc w:val="center"/>
              <w:rPr>
                <w:rFonts w:ascii="Cambria" w:hAnsi="Cambria"/>
                <w:b/>
                <w:bCs/>
                <w:color w:val="000000"/>
              </w:rPr>
            </w:pPr>
            <w:r w:rsidRPr="0087175A">
              <w:rPr>
                <w:rFonts w:ascii="Cambria" w:hAnsi="Cambria"/>
                <w:b/>
                <w:bCs/>
                <w:color w:val="000000"/>
              </w:rPr>
              <w:t>2</w:t>
            </w:r>
            <w:r w:rsidRPr="0087175A">
              <w:rPr>
                <w:rFonts w:ascii="Cambria" w:hAnsi="Cambria"/>
                <w:b/>
                <w:bCs/>
                <w:color w:val="000000"/>
                <w:vertAlign w:val="superscript"/>
              </w:rPr>
              <w:t>e</w:t>
            </w:r>
            <w:r w:rsidRPr="0087175A">
              <w:rPr>
                <w:rFonts w:ascii="Cambria" w:hAnsi="Cambria"/>
                <w:b/>
                <w:bCs/>
                <w:color w:val="000000"/>
              </w:rPr>
              <w:t xml:space="preserve"> classe</w:t>
            </w:r>
            <w:r w:rsidRPr="0087175A">
              <w:rPr>
                <w:rFonts w:ascii="Cambria" w:hAnsi="Cambria"/>
                <w:color w:val="000000"/>
              </w:rPr>
              <w:t xml:space="preserve"> </w:t>
            </w:r>
          </w:p>
        </w:tc>
        <w:tc>
          <w:tcPr>
            <w:tcW w:w="1657" w:type="dxa"/>
            <w:tcBorders>
              <w:top w:val="nil"/>
              <w:left w:val="nil"/>
              <w:bottom w:val="single" w:sz="4" w:space="0" w:color="000000"/>
              <w:right w:val="single" w:sz="4" w:space="0" w:color="000000"/>
            </w:tcBorders>
            <w:vAlign w:val="bottom"/>
            <w:hideMark/>
          </w:tcPr>
          <w:p w14:paraId="464C74A6" w14:textId="77777777" w:rsidR="0087175A" w:rsidRPr="0087175A" w:rsidRDefault="0087175A" w:rsidP="0087175A">
            <w:pPr>
              <w:jc w:val="center"/>
              <w:rPr>
                <w:rFonts w:ascii="Cambria" w:hAnsi="Cambria"/>
                <w:color w:val="000000"/>
              </w:rPr>
            </w:pPr>
            <w:r w:rsidRPr="0087175A">
              <w:rPr>
                <w:rFonts w:ascii="Cambria" w:hAnsi="Cambria"/>
                <w:color w:val="000000"/>
              </w:rPr>
              <w:t xml:space="preserve">néant </w:t>
            </w:r>
          </w:p>
        </w:tc>
        <w:tc>
          <w:tcPr>
            <w:tcW w:w="1560" w:type="dxa"/>
            <w:tcBorders>
              <w:top w:val="nil"/>
              <w:left w:val="nil"/>
              <w:bottom w:val="single" w:sz="4" w:space="0" w:color="000000"/>
              <w:right w:val="single" w:sz="4" w:space="0" w:color="000000"/>
            </w:tcBorders>
            <w:vAlign w:val="bottom"/>
            <w:hideMark/>
          </w:tcPr>
          <w:p w14:paraId="7E23D5C0" w14:textId="77777777" w:rsidR="0087175A" w:rsidRPr="0087175A" w:rsidRDefault="0087175A" w:rsidP="0087175A">
            <w:pPr>
              <w:jc w:val="center"/>
              <w:rPr>
                <w:rFonts w:ascii="Cambria" w:hAnsi="Cambria"/>
                <w:color w:val="000000"/>
              </w:rPr>
            </w:pPr>
            <w:r w:rsidRPr="0087175A">
              <w:rPr>
                <w:rFonts w:ascii="Cambria" w:hAnsi="Cambria"/>
                <w:color w:val="000000"/>
              </w:rPr>
              <w:t>4 150</w:t>
            </w:r>
          </w:p>
        </w:tc>
        <w:tc>
          <w:tcPr>
            <w:tcW w:w="1984" w:type="dxa"/>
            <w:tcBorders>
              <w:top w:val="nil"/>
              <w:left w:val="nil"/>
              <w:bottom w:val="single" w:sz="4" w:space="0" w:color="000000"/>
              <w:right w:val="single" w:sz="4" w:space="0" w:color="000000"/>
            </w:tcBorders>
            <w:vAlign w:val="bottom"/>
            <w:hideMark/>
          </w:tcPr>
          <w:p w14:paraId="3FCC1199" w14:textId="77777777" w:rsidR="0087175A" w:rsidRPr="0087175A" w:rsidRDefault="0087175A" w:rsidP="0087175A">
            <w:pPr>
              <w:jc w:val="center"/>
              <w:rPr>
                <w:rFonts w:ascii="Cambria" w:hAnsi="Cambria"/>
                <w:color w:val="000000"/>
              </w:rPr>
            </w:pPr>
            <w:r w:rsidRPr="0087175A">
              <w:rPr>
                <w:rFonts w:ascii="Cambria" w:hAnsi="Cambria"/>
                <w:color w:val="000000"/>
              </w:rPr>
              <w:t>8 900</w:t>
            </w:r>
          </w:p>
        </w:tc>
        <w:tc>
          <w:tcPr>
            <w:tcW w:w="2679" w:type="dxa"/>
            <w:tcBorders>
              <w:top w:val="nil"/>
              <w:left w:val="nil"/>
              <w:bottom w:val="single" w:sz="4" w:space="0" w:color="000000"/>
              <w:right w:val="single" w:sz="4" w:space="0" w:color="000000"/>
            </w:tcBorders>
            <w:vAlign w:val="bottom"/>
            <w:hideMark/>
          </w:tcPr>
          <w:p w14:paraId="12CBF553" w14:textId="77777777" w:rsidR="0087175A" w:rsidRPr="0087175A" w:rsidRDefault="0087175A" w:rsidP="0087175A">
            <w:pPr>
              <w:jc w:val="center"/>
              <w:rPr>
                <w:rFonts w:ascii="Cambria" w:hAnsi="Cambria"/>
                <w:color w:val="000000"/>
              </w:rPr>
            </w:pPr>
            <w:r w:rsidRPr="0087175A">
              <w:rPr>
                <w:rFonts w:ascii="Cambria" w:hAnsi="Cambria"/>
                <w:color w:val="000000"/>
              </w:rPr>
              <w:t>150 € (17.899,76 F CFP)</w:t>
            </w:r>
          </w:p>
        </w:tc>
      </w:tr>
      <w:tr w:rsidR="0087175A" w:rsidRPr="0087175A" w14:paraId="5BD4A96A" w14:textId="77777777" w:rsidTr="0087175A">
        <w:trPr>
          <w:trHeight w:val="375"/>
        </w:trPr>
        <w:tc>
          <w:tcPr>
            <w:tcW w:w="1760" w:type="dxa"/>
            <w:tcBorders>
              <w:top w:val="nil"/>
              <w:left w:val="single" w:sz="4" w:space="0" w:color="000000"/>
              <w:bottom w:val="single" w:sz="4" w:space="0" w:color="000000"/>
              <w:right w:val="single" w:sz="4" w:space="0" w:color="000000"/>
            </w:tcBorders>
            <w:vAlign w:val="bottom"/>
            <w:hideMark/>
          </w:tcPr>
          <w:p w14:paraId="4F4C285C" w14:textId="77777777" w:rsidR="0087175A" w:rsidRPr="0087175A" w:rsidRDefault="0087175A" w:rsidP="0087175A">
            <w:pPr>
              <w:jc w:val="center"/>
              <w:rPr>
                <w:rFonts w:ascii="Cambria" w:hAnsi="Cambria"/>
                <w:b/>
                <w:bCs/>
                <w:color w:val="000000"/>
              </w:rPr>
            </w:pPr>
            <w:r w:rsidRPr="0087175A">
              <w:rPr>
                <w:rFonts w:ascii="Cambria" w:hAnsi="Cambria"/>
                <w:b/>
                <w:bCs/>
                <w:color w:val="000000"/>
              </w:rPr>
              <w:t>3</w:t>
            </w:r>
            <w:r w:rsidRPr="0087175A">
              <w:rPr>
                <w:rFonts w:ascii="Cambria" w:hAnsi="Cambria"/>
                <w:b/>
                <w:bCs/>
                <w:color w:val="000000"/>
                <w:vertAlign w:val="superscript"/>
              </w:rPr>
              <w:t>e</w:t>
            </w:r>
            <w:r w:rsidRPr="0087175A">
              <w:rPr>
                <w:rFonts w:ascii="Cambria" w:hAnsi="Cambria"/>
                <w:b/>
                <w:bCs/>
                <w:color w:val="000000"/>
              </w:rPr>
              <w:t xml:space="preserve"> classe</w:t>
            </w:r>
            <w:r w:rsidRPr="0087175A">
              <w:rPr>
                <w:rFonts w:ascii="Cambria" w:hAnsi="Cambria"/>
                <w:color w:val="000000"/>
              </w:rPr>
              <w:t xml:space="preserve"> </w:t>
            </w:r>
          </w:p>
        </w:tc>
        <w:tc>
          <w:tcPr>
            <w:tcW w:w="1657" w:type="dxa"/>
            <w:tcBorders>
              <w:top w:val="nil"/>
              <w:left w:val="nil"/>
              <w:bottom w:val="single" w:sz="4" w:space="0" w:color="000000"/>
              <w:right w:val="single" w:sz="4" w:space="0" w:color="000000"/>
            </w:tcBorders>
            <w:vAlign w:val="bottom"/>
            <w:hideMark/>
          </w:tcPr>
          <w:p w14:paraId="37B52425" w14:textId="77777777" w:rsidR="0087175A" w:rsidRPr="0087175A" w:rsidRDefault="0087175A" w:rsidP="0087175A">
            <w:pPr>
              <w:jc w:val="center"/>
              <w:rPr>
                <w:rFonts w:ascii="Cambria" w:hAnsi="Cambria"/>
                <w:color w:val="000000"/>
              </w:rPr>
            </w:pPr>
            <w:r w:rsidRPr="0087175A">
              <w:rPr>
                <w:rFonts w:ascii="Cambria" w:hAnsi="Cambria"/>
                <w:color w:val="000000"/>
              </w:rPr>
              <w:t xml:space="preserve">néant </w:t>
            </w:r>
          </w:p>
        </w:tc>
        <w:tc>
          <w:tcPr>
            <w:tcW w:w="1560" w:type="dxa"/>
            <w:tcBorders>
              <w:top w:val="nil"/>
              <w:left w:val="nil"/>
              <w:bottom w:val="single" w:sz="4" w:space="0" w:color="000000"/>
              <w:right w:val="single" w:sz="4" w:space="0" w:color="000000"/>
            </w:tcBorders>
            <w:vAlign w:val="bottom"/>
            <w:hideMark/>
          </w:tcPr>
          <w:p w14:paraId="3B38674C" w14:textId="77777777" w:rsidR="0087175A" w:rsidRPr="0087175A" w:rsidRDefault="0087175A" w:rsidP="0087175A">
            <w:pPr>
              <w:jc w:val="center"/>
              <w:rPr>
                <w:rFonts w:ascii="Cambria" w:hAnsi="Cambria"/>
                <w:color w:val="000000"/>
              </w:rPr>
            </w:pPr>
            <w:r w:rsidRPr="0087175A">
              <w:rPr>
                <w:rFonts w:ascii="Cambria" w:hAnsi="Cambria"/>
                <w:color w:val="000000"/>
              </w:rPr>
              <w:t>8 100</w:t>
            </w:r>
          </w:p>
        </w:tc>
        <w:tc>
          <w:tcPr>
            <w:tcW w:w="1984" w:type="dxa"/>
            <w:tcBorders>
              <w:top w:val="nil"/>
              <w:left w:val="nil"/>
              <w:bottom w:val="single" w:sz="4" w:space="0" w:color="000000"/>
              <w:right w:val="single" w:sz="4" w:space="0" w:color="000000"/>
            </w:tcBorders>
            <w:vAlign w:val="bottom"/>
            <w:hideMark/>
          </w:tcPr>
          <w:p w14:paraId="7DDFAFDD" w14:textId="77777777" w:rsidR="0087175A" w:rsidRPr="0087175A" w:rsidRDefault="0087175A" w:rsidP="0087175A">
            <w:pPr>
              <w:jc w:val="center"/>
              <w:rPr>
                <w:rFonts w:ascii="Cambria" w:hAnsi="Cambria"/>
                <w:color w:val="000000"/>
              </w:rPr>
            </w:pPr>
            <w:r w:rsidRPr="0087175A">
              <w:rPr>
                <w:rFonts w:ascii="Cambria" w:hAnsi="Cambria"/>
                <w:color w:val="000000"/>
              </w:rPr>
              <w:t>21 450</w:t>
            </w:r>
          </w:p>
        </w:tc>
        <w:tc>
          <w:tcPr>
            <w:tcW w:w="2679" w:type="dxa"/>
            <w:tcBorders>
              <w:top w:val="nil"/>
              <w:left w:val="nil"/>
              <w:bottom w:val="single" w:sz="4" w:space="0" w:color="000000"/>
              <w:right w:val="single" w:sz="4" w:space="0" w:color="000000"/>
            </w:tcBorders>
            <w:vAlign w:val="bottom"/>
            <w:hideMark/>
          </w:tcPr>
          <w:p w14:paraId="096AA8A6" w14:textId="77777777" w:rsidR="0087175A" w:rsidRPr="0087175A" w:rsidRDefault="0087175A" w:rsidP="0087175A">
            <w:pPr>
              <w:jc w:val="center"/>
              <w:rPr>
                <w:rFonts w:ascii="Cambria" w:hAnsi="Cambria"/>
                <w:color w:val="000000"/>
              </w:rPr>
            </w:pPr>
            <w:r w:rsidRPr="0087175A">
              <w:rPr>
                <w:rFonts w:ascii="Cambria" w:hAnsi="Cambria"/>
                <w:color w:val="000000"/>
              </w:rPr>
              <w:t>450 € (53.699,28 F CFP)</w:t>
            </w:r>
          </w:p>
        </w:tc>
      </w:tr>
      <w:tr w:rsidR="0087175A" w:rsidRPr="0087175A" w14:paraId="0E5E2ED3" w14:textId="77777777" w:rsidTr="0087175A">
        <w:trPr>
          <w:trHeight w:val="375"/>
        </w:trPr>
        <w:tc>
          <w:tcPr>
            <w:tcW w:w="1760" w:type="dxa"/>
            <w:tcBorders>
              <w:top w:val="nil"/>
              <w:left w:val="single" w:sz="4" w:space="0" w:color="000000"/>
              <w:bottom w:val="single" w:sz="4" w:space="0" w:color="000000"/>
              <w:right w:val="single" w:sz="4" w:space="0" w:color="000000"/>
            </w:tcBorders>
            <w:vAlign w:val="bottom"/>
            <w:hideMark/>
          </w:tcPr>
          <w:p w14:paraId="087441CB" w14:textId="77777777" w:rsidR="0087175A" w:rsidRPr="0087175A" w:rsidRDefault="0087175A" w:rsidP="0087175A">
            <w:pPr>
              <w:jc w:val="center"/>
              <w:rPr>
                <w:rFonts w:ascii="Cambria" w:hAnsi="Cambria"/>
                <w:b/>
                <w:bCs/>
                <w:color w:val="000000"/>
              </w:rPr>
            </w:pPr>
            <w:r w:rsidRPr="0087175A">
              <w:rPr>
                <w:rFonts w:ascii="Cambria" w:hAnsi="Cambria"/>
                <w:b/>
                <w:bCs/>
                <w:color w:val="000000"/>
              </w:rPr>
              <w:t>4</w:t>
            </w:r>
            <w:r w:rsidRPr="0087175A">
              <w:rPr>
                <w:rFonts w:ascii="Cambria" w:hAnsi="Cambria"/>
                <w:b/>
                <w:bCs/>
                <w:color w:val="000000"/>
                <w:vertAlign w:val="superscript"/>
              </w:rPr>
              <w:t>e</w:t>
            </w:r>
            <w:r w:rsidRPr="0087175A">
              <w:rPr>
                <w:rFonts w:ascii="Cambria" w:hAnsi="Cambria"/>
                <w:b/>
                <w:bCs/>
                <w:color w:val="000000"/>
              </w:rPr>
              <w:t xml:space="preserve"> classe</w:t>
            </w:r>
            <w:r w:rsidRPr="0087175A">
              <w:rPr>
                <w:rFonts w:ascii="Cambria" w:hAnsi="Cambria"/>
                <w:color w:val="000000"/>
              </w:rPr>
              <w:t xml:space="preserve"> </w:t>
            </w:r>
          </w:p>
        </w:tc>
        <w:tc>
          <w:tcPr>
            <w:tcW w:w="1657" w:type="dxa"/>
            <w:tcBorders>
              <w:top w:val="nil"/>
              <w:left w:val="nil"/>
              <w:bottom w:val="single" w:sz="4" w:space="0" w:color="000000"/>
              <w:right w:val="single" w:sz="4" w:space="0" w:color="000000"/>
            </w:tcBorders>
            <w:vAlign w:val="bottom"/>
            <w:hideMark/>
          </w:tcPr>
          <w:p w14:paraId="6F0CCD01" w14:textId="77777777" w:rsidR="0087175A" w:rsidRPr="0087175A" w:rsidRDefault="0087175A" w:rsidP="0087175A">
            <w:pPr>
              <w:jc w:val="center"/>
              <w:rPr>
                <w:rFonts w:ascii="Cambria" w:hAnsi="Cambria"/>
                <w:color w:val="000000"/>
              </w:rPr>
            </w:pPr>
            <w:r w:rsidRPr="0087175A">
              <w:rPr>
                <w:rFonts w:ascii="Cambria" w:hAnsi="Cambria"/>
                <w:color w:val="000000"/>
              </w:rPr>
              <w:t xml:space="preserve">néant </w:t>
            </w:r>
          </w:p>
        </w:tc>
        <w:tc>
          <w:tcPr>
            <w:tcW w:w="1560" w:type="dxa"/>
            <w:tcBorders>
              <w:top w:val="nil"/>
              <w:left w:val="nil"/>
              <w:bottom w:val="single" w:sz="4" w:space="0" w:color="000000"/>
              <w:right w:val="single" w:sz="4" w:space="0" w:color="000000"/>
            </w:tcBorders>
            <w:vAlign w:val="bottom"/>
            <w:hideMark/>
          </w:tcPr>
          <w:p w14:paraId="59218B69" w14:textId="77777777" w:rsidR="0087175A" w:rsidRPr="0087175A" w:rsidRDefault="0087175A" w:rsidP="0087175A">
            <w:pPr>
              <w:jc w:val="center"/>
              <w:rPr>
                <w:rFonts w:ascii="Cambria" w:hAnsi="Cambria"/>
                <w:color w:val="000000"/>
              </w:rPr>
            </w:pPr>
            <w:r w:rsidRPr="0087175A">
              <w:rPr>
                <w:rFonts w:ascii="Cambria" w:hAnsi="Cambria"/>
                <w:color w:val="000000"/>
              </w:rPr>
              <w:t>16 100</w:t>
            </w:r>
          </w:p>
        </w:tc>
        <w:tc>
          <w:tcPr>
            <w:tcW w:w="1984" w:type="dxa"/>
            <w:tcBorders>
              <w:top w:val="nil"/>
              <w:left w:val="nil"/>
              <w:bottom w:val="single" w:sz="4" w:space="0" w:color="000000"/>
              <w:right w:val="single" w:sz="4" w:space="0" w:color="000000"/>
            </w:tcBorders>
            <w:vAlign w:val="bottom"/>
            <w:hideMark/>
          </w:tcPr>
          <w:p w14:paraId="76EE1248" w14:textId="77777777" w:rsidR="0087175A" w:rsidRPr="0087175A" w:rsidRDefault="0087175A" w:rsidP="0087175A">
            <w:pPr>
              <w:jc w:val="center"/>
              <w:rPr>
                <w:rFonts w:ascii="Cambria" w:hAnsi="Cambria"/>
                <w:color w:val="000000"/>
              </w:rPr>
            </w:pPr>
            <w:r w:rsidRPr="0087175A">
              <w:rPr>
                <w:rFonts w:ascii="Cambria" w:hAnsi="Cambria"/>
                <w:color w:val="000000"/>
              </w:rPr>
              <w:t>44 700</w:t>
            </w:r>
          </w:p>
        </w:tc>
        <w:tc>
          <w:tcPr>
            <w:tcW w:w="2679" w:type="dxa"/>
            <w:tcBorders>
              <w:top w:val="nil"/>
              <w:left w:val="nil"/>
              <w:bottom w:val="single" w:sz="4" w:space="0" w:color="000000"/>
              <w:right w:val="single" w:sz="4" w:space="0" w:color="000000"/>
            </w:tcBorders>
            <w:vAlign w:val="bottom"/>
            <w:hideMark/>
          </w:tcPr>
          <w:p w14:paraId="26405DE0" w14:textId="77777777" w:rsidR="0087175A" w:rsidRPr="0087175A" w:rsidRDefault="0087175A" w:rsidP="0087175A">
            <w:pPr>
              <w:jc w:val="center"/>
              <w:rPr>
                <w:rFonts w:ascii="Cambria" w:hAnsi="Cambria"/>
                <w:color w:val="000000"/>
              </w:rPr>
            </w:pPr>
            <w:r w:rsidRPr="0087175A">
              <w:rPr>
                <w:rFonts w:ascii="Cambria" w:hAnsi="Cambria"/>
                <w:color w:val="000000"/>
              </w:rPr>
              <w:t>750 € (89.498, 81 F CFP)</w:t>
            </w:r>
          </w:p>
        </w:tc>
      </w:tr>
      <w:tr w:rsidR="0087175A" w:rsidRPr="0087175A" w14:paraId="742FC67E" w14:textId="77777777" w:rsidTr="0087175A">
        <w:trPr>
          <w:trHeight w:val="630"/>
        </w:trPr>
        <w:tc>
          <w:tcPr>
            <w:tcW w:w="1760" w:type="dxa"/>
            <w:tcBorders>
              <w:top w:val="nil"/>
              <w:left w:val="single" w:sz="4" w:space="0" w:color="000000"/>
              <w:bottom w:val="single" w:sz="4" w:space="0" w:color="000000"/>
              <w:right w:val="single" w:sz="4" w:space="0" w:color="000000"/>
            </w:tcBorders>
            <w:vAlign w:val="bottom"/>
            <w:hideMark/>
          </w:tcPr>
          <w:p w14:paraId="4E36FCF7" w14:textId="77777777" w:rsidR="0087175A" w:rsidRPr="0087175A" w:rsidRDefault="0087175A" w:rsidP="0087175A">
            <w:pPr>
              <w:jc w:val="center"/>
              <w:rPr>
                <w:rFonts w:ascii="Cambria" w:hAnsi="Cambria"/>
                <w:b/>
                <w:bCs/>
                <w:color w:val="000000"/>
              </w:rPr>
            </w:pPr>
            <w:r w:rsidRPr="0087175A">
              <w:rPr>
                <w:rFonts w:ascii="Cambria" w:hAnsi="Cambria"/>
                <w:b/>
                <w:bCs/>
                <w:color w:val="000000"/>
              </w:rPr>
              <w:t>5</w:t>
            </w:r>
            <w:r w:rsidRPr="0087175A">
              <w:rPr>
                <w:rFonts w:ascii="Cambria" w:hAnsi="Cambria"/>
                <w:b/>
                <w:bCs/>
                <w:color w:val="000000"/>
                <w:vertAlign w:val="superscript"/>
              </w:rPr>
              <w:t>e</w:t>
            </w:r>
            <w:r w:rsidRPr="0087175A">
              <w:rPr>
                <w:rFonts w:ascii="Cambria" w:hAnsi="Cambria"/>
                <w:b/>
                <w:bCs/>
                <w:color w:val="000000"/>
              </w:rPr>
              <w:t xml:space="preserve"> classe</w:t>
            </w:r>
            <w:r w:rsidRPr="0087175A">
              <w:rPr>
                <w:rFonts w:ascii="Cambria" w:hAnsi="Cambria"/>
                <w:color w:val="000000"/>
              </w:rPr>
              <w:t xml:space="preserve"> </w:t>
            </w:r>
          </w:p>
        </w:tc>
        <w:tc>
          <w:tcPr>
            <w:tcW w:w="1657" w:type="dxa"/>
            <w:tcBorders>
              <w:top w:val="nil"/>
              <w:left w:val="nil"/>
              <w:bottom w:val="single" w:sz="4" w:space="0" w:color="000000"/>
              <w:right w:val="single" w:sz="4" w:space="0" w:color="000000"/>
            </w:tcBorders>
            <w:vAlign w:val="bottom"/>
            <w:hideMark/>
          </w:tcPr>
          <w:p w14:paraId="2E935EEE" w14:textId="77777777" w:rsidR="0087175A" w:rsidRPr="0087175A" w:rsidRDefault="0087175A" w:rsidP="0087175A">
            <w:pPr>
              <w:jc w:val="center"/>
              <w:rPr>
                <w:rFonts w:ascii="Cambria" w:hAnsi="Cambria"/>
                <w:color w:val="000000"/>
              </w:rPr>
            </w:pPr>
            <w:r w:rsidRPr="0087175A">
              <w:rPr>
                <w:rFonts w:ascii="Cambria" w:hAnsi="Cambria"/>
                <w:color w:val="000000"/>
              </w:rPr>
              <w:t xml:space="preserve">néant </w:t>
            </w:r>
          </w:p>
        </w:tc>
        <w:tc>
          <w:tcPr>
            <w:tcW w:w="1560" w:type="dxa"/>
            <w:tcBorders>
              <w:top w:val="nil"/>
              <w:left w:val="nil"/>
              <w:bottom w:val="single" w:sz="4" w:space="0" w:color="000000"/>
              <w:right w:val="single" w:sz="4" w:space="0" w:color="000000"/>
            </w:tcBorders>
            <w:vAlign w:val="bottom"/>
            <w:hideMark/>
          </w:tcPr>
          <w:p w14:paraId="66ADAA13" w14:textId="77777777" w:rsidR="0087175A" w:rsidRPr="0087175A" w:rsidRDefault="0087175A" w:rsidP="0087175A">
            <w:pPr>
              <w:jc w:val="center"/>
              <w:rPr>
                <w:rFonts w:ascii="Cambria" w:hAnsi="Cambria"/>
                <w:color w:val="000000"/>
              </w:rPr>
            </w:pPr>
            <w:r w:rsidRPr="0087175A">
              <w:rPr>
                <w:rFonts w:ascii="Cambria" w:hAnsi="Cambria"/>
                <w:color w:val="000000"/>
              </w:rPr>
              <w:t> </w:t>
            </w:r>
          </w:p>
        </w:tc>
        <w:tc>
          <w:tcPr>
            <w:tcW w:w="1984" w:type="dxa"/>
            <w:tcBorders>
              <w:top w:val="nil"/>
              <w:left w:val="nil"/>
              <w:bottom w:val="single" w:sz="4" w:space="0" w:color="000000"/>
              <w:right w:val="single" w:sz="4" w:space="0" w:color="000000"/>
            </w:tcBorders>
            <w:vAlign w:val="bottom"/>
            <w:hideMark/>
          </w:tcPr>
          <w:p w14:paraId="2F627E09" w14:textId="77777777" w:rsidR="0087175A" w:rsidRPr="0087175A" w:rsidRDefault="0087175A" w:rsidP="0087175A">
            <w:pPr>
              <w:jc w:val="center"/>
              <w:rPr>
                <w:rFonts w:ascii="Cambria" w:hAnsi="Cambria"/>
                <w:color w:val="000000"/>
              </w:rPr>
            </w:pPr>
            <w:r w:rsidRPr="0087175A">
              <w:rPr>
                <w:rFonts w:ascii="Cambria" w:hAnsi="Cambria"/>
                <w:color w:val="000000"/>
              </w:rPr>
              <w:t> </w:t>
            </w:r>
          </w:p>
        </w:tc>
        <w:tc>
          <w:tcPr>
            <w:tcW w:w="2679" w:type="dxa"/>
            <w:tcBorders>
              <w:top w:val="nil"/>
              <w:left w:val="nil"/>
              <w:bottom w:val="single" w:sz="4" w:space="0" w:color="000000"/>
              <w:right w:val="single" w:sz="4" w:space="0" w:color="000000"/>
            </w:tcBorders>
            <w:vAlign w:val="bottom"/>
            <w:hideMark/>
          </w:tcPr>
          <w:p w14:paraId="7089DEA8" w14:textId="77777777" w:rsidR="0087175A" w:rsidRPr="0087175A" w:rsidRDefault="0087175A" w:rsidP="0087175A">
            <w:pPr>
              <w:jc w:val="center"/>
              <w:rPr>
                <w:rFonts w:ascii="Cambria" w:hAnsi="Cambria"/>
                <w:color w:val="000000"/>
              </w:rPr>
            </w:pPr>
            <w:r w:rsidRPr="0087175A">
              <w:rPr>
                <w:rFonts w:ascii="Cambria" w:hAnsi="Cambria"/>
                <w:color w:val="000000"/>
              </w:rPr>
              <w:t>1.500€ (178.987,61 F CFP) récidive : 3.000 € (357.975,22  F CFP)</w:t>
            </w:r>
          </w:p>
        </w:tc>
      </w:tr>
      <w:tr w:rsidR="0087175A" w:rsidRPr="0087175A" w14:paraId="69594184" w14:textId="77777777" w:rsidTr="0087175A">
        <w:trPr>
          <w:trHeight w:val="315"/>
        </w:trPr>
        <w:tc>
          <w:tcPr>
            <w:tcW w:w="9640" w:type="dxa"/>
            <w:gridSpan w:val="5"/>
            <w:tcBorders>
              <w:top w:val="single" w:sz="4" w:space="0" w:color="auto"/>
              <w:left w:val="single" w:sz="4" w:space="0" w:color="auto"/>
              <w:bottom w:val="single" w:sz="4" w:space="0" w:color="auto"/>
              <w:right w:val="single" w:sz="4" w:space="0" w:color="auto"/>
            </w:tcBorders>
            <w:vAlign w:val="bottom"/>
            <w:hideMark/>
          </w:tcPr>
          <w:p w14:paraId="67DECC87"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Amendes</w:t>
            </w:r>
          </w:p>
        </w:tc>
      </w:tr>
      <w:tr w:rsidR="0087175A" w:rsidRPr="0087175A" w14:paraId="26A9109C" w14:textId="77777777" w:rsidTr="0087175A">
        <w:trPr>
          <w:trHeight w:val="630"/>
        </w:trPr>
        <w:tc>
          <w:tcPr>
            <w:tcW w:w="1760" w:type="dxa"/>
            <w:tcBorders>
              <w:top w:val="nil"/>
              <w:left w:val="single" w:sz="4" w:space="0" w:color="auto"/>
              <w:bottom w:val="single" w:sz="4" w:space="0" w:color="auto"/>
              <w:right w:val="single" w:sz="4" w:space="0" w:color="auto"/>
            </w:tcBorders>
            <w:vAlign w:val="center"/>
            <w:hideMark/>
          </w:tcPr>
          <w:p w14:paraId="20334311" w14:textId="77777777" w:rsidR="0087175A" w:rsidRPr="0087175A" w:rsidRDefault="0087175A" w:rsidP="0087175A">
            <w:pPr>
              <w:jc w:val="center"/>
              <w:rPr>
                <w:rFonts w:ascii="Cambria" w:hAnsi="Cambria"/>
                <w:b/>
                <w:bCs/>
                <w:color w:val="000000"/>
              </w:rPr>
            </w:pPr>
            <w:r w:rsidRPr="0087175A">
              <w:rPr>
                <w:rFonts w:ascii="Cambria" w:hAnsi="Cambria"/>
                <w:b/>
                <w:bCs/>
                <w:color w:val="000000"/>
              </w:rPr>
              <w:t>Nature de la contravention</w:t>
            </w:r>
          </w:p>
        </w:tc>
        <w:tc>
          <w:tcPr>
            <w:tcW w:w="1657" w:type="dxa"/>
            <w:tcBorders>
              <w:top w:val="nil"/>
              <w:left w:val="nil"/>
              <w:bottom w:val="single" w:sz="4" w:space="0" w:color="auto"/>
              <w:right w:val="single" w:sz="4" w:space="0" w:color="auto"/>
            </w:tcBorders>
            <w:vAlign w:val="center"/>
            <w:hideMark/>
          </w:tcPr>
          <w:p w14:paraId="69A09C0B" w14:textId="77777777" w:rsidR="0087175A" w:rsidRPr="0087175A" w:rsidRDefault="0087175A" w:rsidP="0087175A">
            <w:pPr>
              <w:jc w:val="center"/>
              <w:rPr>
                <w:rFonts w:ascii="Cambria" w:hAnsi="Cambria"/>
                <w:b/>
                <w:bCs/>
                <w:color w:val="000000"/>
              </w:rPr>
            </w:pPr>
            <w:r w:rsidRPr="0087175A">
              <w:rPr>
                <w:rFonts w:ascii="Cambria" w:hAnsi="Cambria"/>
                <w:b/>
                <w:bCs/>
                <w:color w:val="000000"/>
              </w:rPr>
              <w:t>Références</w:t>
            </w:r>
          </w:p>
        </w:tc>
        <w:tc>
          <w:tcPr>
            <w:tcW w:w="1560" w:type="dxa"/>
            <w:tcBorders>
              <w:top w:val="nil"/>
              <w:left w:val="nil"/>
              <w:bottom w:val="single" w:sz="4" w:space="0" w:color="auto"/>
              <w:right w:val="single" w:sz="4" w:space="0" w:color="auto"/>
            </w:tcBorders>
            <w:vAlign w:val="center"/>
            <w:hideMark/>
          </w:tcPr>
          <w:p w14:paraId="518F4D07"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Amende forfaitaire</w:t>
            </w:r>
          </w:p>
        </w:tc>
        <w:tc>
          <w:tcPr>
            <w:tcW w:w="1984" w:type="dxa"/>
            <w:tcBorders>
              <w:top w:val="nil"/>
              <w:left w:val="nil"/>
              <w:bottom w:val="single" w:sz="4" w:space="0" w:color="auto"/>
              <w:right w:val="single" w:sz="4" w:space="0" w:color="auto"/>
            </w:tcBorders>
            <w:vAlign w:val="center"/>
            <w:hideMark/>
          </w:tcPr>
          <w:p w14:paraId="018AE920"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Amende forfaitaire majorée</w:t>
            </w:r>
          </w:p>
        </w:tc>
        <w:tc>
          <w:tcPr>
            <w:tcW w:w="2679" w:type="dxa"/>
            <w:tcBorders>
              <w:top w:val="nil"/>
              <w:left w:val="nil"/>
              <w:bottom w:val="single" w:sz="4" w:space="0" w:color="auto"/>
              <w:right w:val="single" w:sz="4" w:space="0" w:color="auto"/>
            </w:tcBorders>
            <w:vAlign w:val="center"/>
            <w:hideMark/>
          </w:tcPr>
          <w:p w14:paraId="491E3376"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Amende pénale</w:t>
            </w:r>
          </w:p>
        </w:tc>
      </w:tr>
      <w:tr w:rsidR="0087175A" w:rsidRPr="0087175A" w14:paraId="2C7F095A" w14:textId="77777777" w:rsidTr="0087175A">
        <w:trPr>
          <w:trHeight w:val="630"/>
        </w:trPr>
        <w:tc>
          <w:tcPr>
            <w:tcW w:w="1760" w:type="dxa"/>
            <w:tcBorders>
              <w:top w:val="nil"/>
              <w:left w:val="single" w:sz="4" w:space="0" w:color="auto"/>
              <w:bottom w:val="single" w:sz="4" w:space="0" w:color="auto"/>
              <w:right w:val="single" w:sz="4" w:space="0" w:color="auto"/>
            </w:tcBorders>
            <w:vAlign w:val="center"/>
            <w:hideMark/>
          </w:tcPr>
          <w:p w14:paraId="3EEEEE57" w14:textId="77777777" w:rsidR="0087175A" w:rsidRPr="0087175A" w:rsidRDefault="0087175A" w:rsidP="0087175A">
            <w:pPr>
              <w:jc w:val="center"/>
              <w:rPr>
                <w:rFonts w:ascii="Cambria" w:hAnsi="Cambria"/>
                <w:b/>
                <w:bCs/>
                <w:color w:val="000000"/>
              </w:rPr>
            </w:pPr>
            <w:r w:rsidRPr="0087175A">
              <w:rPr>
                <w:rFonts w:ascii="Cambria" w:hAnsi="Cambria"/>
                <w:b/>
                <w:bCs/>
                <w:color w:val="000000"/>
              </w:rPr>
              <w:lastRenderedPageBreak/>
              <w:t>Bruit dans un espace classé</w:t>
            </w:r>
          </w:p>
        </w:tc>
        <w:tc>
          <w:tcPr>
            <w:tcW w:w="1657" w:type="dxa"/>
            <w:tcBorders>
              <w:top w:val="nil"/>
              <w:left w:val="nil"/>
              <w:bottom w:val="single" w:sz="4" w:space="0" w:color="auto"/>
              <w:right w:val="single" w:sz="4" w:space="0" w:color="auto"/>
            </w:tcBorders>
            <w:vAlign w:val="center"/>
            <w:hideMark/>
          </w:tcPr>
          <w:p w14:paraId="6F3A45E3" w14:textId="77777777" w:rsidR="0087175A" w:rsidRPr="0087175A" w:rsidRDefault="0087175A" w:rsidP="0087175A">
            <w:pPr>
              <w:jc w:val="center"/>
              <w:rPr>
                <w:rFonts w:ascii="Cambria" w:hAnsi="Cambria"/>
                <w:color w:val="000000"/>
              </w:rPr>
            </w:pPr>
            <w:r w:rsidRPr="0087175A">
              <w:rPr>
                <w:rFonts w:ascii="Cambria" w:hAnsi="Cambria"/>
                <w:color w:val="000000"/>
              </w:rPr>
              <w:t>LP. 124-83-1</w:t>
            </w:r>
          </w:p>
        </w:tc>
        <w:tc>
          <w:tcPr>
            <w:tcW w:w="1560" w:type="dxa"/>
            <w:tcBorders>
              <w:top w:val="nil"/>
              <w:left w:val="nil"/>
              <w:bottom w:val="single" w:sz="4" w:space="0" w:color="auto"/>
              <w:right w:val="single" w:sz="4" w:space="0" w:color="auto"/>
            </w:tcBorders>
            <w:vAlign w:val="center"/>
            <w:hideMark/>
          </w:tcPr>
          <w:p w14:paraId="2997FDD7" w14:textId="77777777" w:rsidR="0087175A" w:rsidRPr="0087175A" w:rsidRDefault="0087175A" w:rsidP="0087175A">
            <w:pPr>
              <w:jc w:val="center"/>
              <w:rPr>
                <w:rFonts w:ascii="Cambria" w:hAnsi="Cambria"/>
                <w:color w:val="000000"/>
              </w:rPr>
            </w:pPr>
            <w:r w:rsidRPr="0087175A">
              <w:rPr>
                <w:rFonts w:ascii="Cambria" w:hAnsi="Cambria"/>
                <w:color w:val="000000"/>
              </w:rPr>
              <w:t>4 150</w:t>
            </w:r>
          </w:p>
        </w:tc>
        <w:tc>
          <w:tcPr>
            <w:tcW w:w="1984" w:type="dxa"/>
            <w:tcBorders>
              <w:top w:val="nil"/>
              <w:left w:val="nil"/>
              <w:bottom w:val="single" w:sz="4" w:space="0" w:color="auto"/>
              <w:right w:val="single" w:sz="4" w:space="0" w:color="auto"/>
            </w:tcBorders>
            <w:vAlign w:val="center"/>
            <w:hideMark/>
          </w:tcPr>
          <w:p w14:paraId="46F1FBFE" w14:textId="77777777" w:rsidR="0087175A" w:rsidRPr="0087175A" w:rsidRDefault="0087175A" w:rsidP="0087175A">
            <w:pPr>
              <w:jc w:val="center"/>
              <w:rPr>
                <w:rFonts w:ascii="Cambria" w:hAnsi="Cambria"/>
                <w:color w:val="000000"/>
              </w:rPr>
            </w:pPr>
            <w:r w:rsidRPr="0087175A">
              <w:rPr>
                <w:rFonts w:ascii="Cambria" w:hAnsi="Cambria"/>
                <w:color w:val="000000"/>
              </w:rPr>
              <w:t>8 900</w:t>
            </w:r>
          </w:p>
        </w:tc>
        <w:tc>
          <w:tcPr>
            <w:tcW w:w="2679" w:type="dxa"/>
            <w:tcBorders>
              <w:top w:val="single" w:sz="4" w:space="0" w:color="000000"/>
              <w:left w:val="single" w:sz="4" w:space="0" w:color="000000"/>
              <w:bottom w:val="single" w:sz="4" w:space="0" w:color="000000"/>
              <w:right w:val="single" w:sz="4" w:space="0" w:color="000000"/>
            </w:tcBorders>
            <w:vAlign w:val="center"/>
            <w:hideMark/>
          </w:tcPr>
          <w:p w14:paraId="4C5D25C6" w14:textId="77777777" w:rsidR="0087175A" w:rsidRPr="0087175A" w:rsidRDefault="0087175A" w:rsidP="0087175A">
            <w:pPr>
              <w:jc w:val="center"/>
              <w:rPr>
                <w:rFonts w:ascii="Cambria" w:hAnsi="Cambria"/>
                <w:color w:val="000000"/>
              </w:rPr>
            </w:pPr>
            <w:r w:rsidRPr="0087175A">
              <w:rPr>
                <w:rFonts w:ascii="Cambria" w:hAnsi="Cambria"/>
                <w:color w:val="000000"/>
              </w:rPr>
              <w:t>150 € (17.899,76 F CFP)</w:t>
            </w:r>
          </w:p>
        </w:tc>
      </w:tr>
      <w:tr w:rsidR="0087175A" w:rsidRPr="0087175A" w14:paraId="192C57CB" w14:textId="77777777" w:rsidTr="0087175A">
        <w:trPr>
          <w:trHeight w:val="630"/>
        </w:trPr>
        <w:tc>
          <w:tcPr>
            <w:tcW w:w="1760" w:type="dxa"/>
            <w:tcBorders>
              <w:top w:val="nil"/>
              <w:left w:val="single" w:sz="4" w:space="0" w:color="auto"/>
              <w:bottom w:val="single" w:sz="4" w:space="0" w:color="auto"/>
              <w:right w:val="single" w:sz="4" w:space="0" w:color="auto"/>
            </w:tcBorders>
            <w:vAlign w:val="center"/>
            <w:hideMark/>
          </w:tcPr>
          <w:p w14:paraId="2096952B" w14:textId="77777777" w:rsidR="0087175A" w:rsidRPr="0087175A" w:rsidRDefault="0087175A" w:rsidP="0087175A">
            <w:pPr>
              <w:jc w:val="center"/>
              <w:rPr>
                <w:rFonts w:ascii="Cambria" w:hAnsi="Cambria"/>
                <w:b/>
                <w:bCs/>
                <w:color w:val="000000"/>
              </w:rPr>
            </w:pPr>
            <w:r w:rsidRPr="0087175A">
              <w:rPr>
                <w:rFonts w:ascii="Cambria" w:hAnsi="Cambria"/>
                <w:b/>
                <w:bCs/>
                <w:color w:val="000000"/>
              </w:rPr>
              <w:t>Tapage nocturne et diurne</w:t>
            </w:r>
          </w:p>
        </w:tc>
        <w:tc>
          <w:tcPr>
            <w:tcW w:w="1657" w:type="dxa"/>
            <w:tcBorders>
              <w:top w:val="nil"/>
              <w:left w:val="nil"/>
              <w:bottom w:val="single" w:sz="4" w:space="0" w:color="auto"/>
              <w:right w:val="single" w:sz="4" w:space="0" w:color="auto"/>
            </w:tcBorders>
            <w:vAlign w:val="center"/>
            <w:hideMark/>
          </w:tcPr>
          <w:p w14:paraId="4BE5536F" w14:textId="77777777" w:rsidR="0087175A" w:rsidRPr="0087175A" w:rsidRDefault="0087175A" w:rsidP="0087175A">
            <w:pPr>
              <w:jc w:val="center"/>
              <w:rPr>
                <w:rFonts w:ascii="Cambria" w:hAnsi="Cambria"/>
                <w:color w:val="000000"/>
              </w:rPr>
            </w:pPr>
            <w:r w:rsidRPr="0087175A">
              <w:rPr>
                <w:rFonts w:ascii="Cambria" w:hAnsi="Cambria"/>
                <w:color w:val="000000"/>
              </w:rPr>
              <w:t>LP. 200-2</w:t>
            </w:r>
          </w:p>
        </w:tc>
        <w:tc>
          <w:tcPr>
            <w:tcW w:w="1560" w:type="dxa"/>
            <w:tcBorders>
              <w:top w:val="nil"/>
              <w:left w:val="nil"/>
              <w:bottom w:val="single" w:sz="4" w:space="0" w:color="auto"/>
              <w:right w:val="single" w:sz="4" w:space="0" w:color="auto"/>
            </w:tcBorders>
            <w:vAlign w:val="center"/>
            <w:hideMark/>
          </w:tcPr>
          <w:p w14:paraId="37BEA7BC" w14:textId="77777777" w:rsidR="0087175A" w:rsidRPr="0087175A" w:rsidRDefault="0087175A" w:rsidP="0087175A">
            <w:pPr>
              <w:jc w:val="center"/>
              <w:rPr>
                <w:rFonts w:ascii="Cambria" w:hAnsi="Cambria"/>
                <w:color w:val="000000"/>
              </w:rPr>
            </w:pPr>
            <w:r w:rsidRPr="0087175A">
              <w:rPr>
                <w:rFonts w:ascii="Cambria" w:hAnsi="Cambria"/>
                <w:color w:val="000000"/>
              </w:rPr>
              <w:t>8 100</w:t>
            </w:r>
          </w:p>
        </w:tc>
        <w:tc>
          <w:tcPr>
            <w:tcW w:w="1984" w:type="dxa"/>
            <w:tcBorders>
              <w:top w:val="nil"/>
              <w:left w:val="nil"/>
              <w:bottom w:val="single" w:sz="4" w:space="0" w:color="auto"/>
              <w:right w:val="single" w:sz="4" w:space="0" w:color="auto"/>
            </w:tcBorders>
            <w:vAlign w:val="center"/>
            <w:hideMark/>
          </w:tcPr>
          <w:p w14:paraId="2835AC0B" w14:textId="77777777" w:rsidR="0087175A" w:rsidRPr="0087175A" w:rsidRDefault="0087175A" w:rsidP="0087175A">
            <w:pPr>
              <w:jc w:val="center"/>
              <w:rPr>
                <w:rFonts w:ascii="Cambria" w:hAnsi="Cambria"/>
                <w:color w:val="000000"/>
              </w:rPr>
            </w:pPr>
            <w:r w:rsidRPr="0087175A">
              <w:rPr>
                <w:rFonts w:ascii="Cambria" w:hAnsi="Cambria"/>
                <w:color w:val="000000"/>
              </w:rPr>
              <w:t>21 450</w:t>
            </w:r>
          </w:p>
        </w:tc>
        <w:tc>
          <w:tcPr>
            <w:tcW w:w="2679" w:type="dxa"/>
            <w:tcBorders>
              <w:top w:val="nil"/>
              <w:left w:val="single" w:sz="4" w:space="0" w:color="000000"/>
              <w:bottom w:val="single" w:sz="4" w:space="0" w:color="000000"/>
              <w:right w:val="single" w:sz="4" w:space="0" w:color="000000"/>
            </w:tcBorders>
            <w:vAlign w:val="center"/>
            <w:hideMark/>
          </w:tcPr>
          <w:p w14:paraId="2E15E62F" w14:textId="77777777" w:rsidR="0087175A" w:rsidRPr="0087175A" w:rsidRDefault="0087175A" w:rsidP="0087175A">
            <w:pPr>
              <w:jc w:val="center"/>
              <w:rPr>
                <w:rFonts w:ascii="Cambria" w:hAnsi="Cambria"/>
                <w:color w:val="000000"/>
              </w:rPr>
            </w:pPr>
            <w:r w:rsidRPr="0087175A">
              <w:rPr>
                <w:rFonts w:ascii="Cambria" w:hAnsi="Cambria"/>
                <w:color w:val="000000"/>
              </w:rPr>
              <w:t>450 € (53.699,28 F CFP)</w:t>
            </w:r>
          </w:p>
        </w:tc>
      </w:tr>
      <w:tr w:rsidR="0087175A" w:rsidRPr="0087175A" w14:paraId="5EC2A92F" w14:textId="77777777" w:rsidTr="0087175A">
        <w:trPr>
          <w:trHeight w:val="1260"/>
        </w:trPr>
        <w:tc>
          <w:tcPr>
            <w:tcW w:w="1760" w:type="dxa"/>
            <w:tcBorders>
              <w:top w:val="nil"/>
              <w:left w:val="single" w:sz="4" w:space="0" w:color="auto"/>
              <w:bottom w:val="single" w:sz="4" w:space="0" w:color="auto"/>
              <w:right w:val="single" w:sz="4" w:space="0" w:color="auto"/>
            </w:tcBorders>
            <w:vAlign w:val="center"/>
            <w:hideMark/>
          </w:tcPr>
          <w:p w14:paraId="5530BB7F" w14:textId="77777777" w:rsidR="0087175A" w:rsidRPr="0087175A" w:rsidRDefault="0087175A" w:rsidP="0087175A">
            <w:pPr>
              <w:jc w:val="center"/>
              <w:rPr>
                <w:rFonts w:ascii="Cambria" w:hAnsi="Cambria"/>
                <w:b/>
                <w:bCs/>
                <w:color w:val="000000"/>
              </w:rPr>
            </w:pPr>
            <w:r w:rsidRPr="0087175A">
              <w:rPr>
                <w:rFonts w:ascii="Cambria" w:hAnsi="Cambria"/>
                <w:b/>
                <w:bCs/>
                <w:color w:val="000000"/>
              </w:rPr>
              <w:t>Circulation du publique dans un espace protégé</w:t>
            </w:r>
          </w:p>
        </w:tc>
        <w:tc>
          <w:tcPr>
            <w:tcW w:w="1657" w:type="dxa"/>
            <w:tcBorders>
              <w:top w:val="nil"/>
              <w:left w:val="nil"/>
              <w:bottom w:val="single" w:sz="4" w:space="0" w:color="auto"/>
              <w:right w:val="single" w:sz="4" w:space="0" w:color="auto"/>
            </w:tcBorders>
            <w:vAlign w:val="center"/>
            <w:hideMark/>
          </w:tcPr>
          <w:p w14:paraId="4995CC2E" w14:textId="77777777" w:rsidR="0087175A" w:rsidRPr="0087175A" w:rsidRDefault="0087175A" w:rsidP="0087175A">
            <w:pPr>
              <w:jc w:val="center"/>
              <w:rPr>
                <w:rFonts w:ascii="Cambria" w:hAnsi="Cambria"/>
                <w:color w:val="000000"/>
              </w:rPr>
            </w:pPr>
            <w:r w:rsidRPr="0087175A">
              <w:rPr>
                <w:rFonts w:ascii="Cambria" w:hAnsi="Cambria"/>
                <w:color w:val="000000"/>
              </w:rPr>
              <w:t>LP. 124-83-2</w:t>
            </w:r>
          </w:p>
        </w:tc>
        <w:tc>
          <w:tcPr>
            <w:tcW w:w="1560" w:type="dxa"/>
            <w:tcBorders>
              <w:top w:val="nil"/>
              <w:left w:val="nil"/>
              <w:bottom w:val="single" w:sz="4" w:space="0" w:color="auto"/>
              <w:right w:val="single" w:sz="4" w:space="0" w:color="auto"/>
            </w:tcBorders>
            <w:vAlign w:val="center"/>
            <w:hideMark/>
          </w:tcPr>
          <w:p w14:paraId="12C6E0C6" w14:textId="77777777" w:rsidR="0087175A" w:rsidRPr="0087175A" w:rsidRDefault="0087175A" w:rsidP="0087175A">
            <w:pPr>
              <w:jc w:val="center"/>
              <w:rPr>
                <w:rFonts w:ascii="Cambria" w:hAnsi="Cambria"/>
                <w:color w:val="000000"/>
              </w:rPr>
            </w:pPr>
            <w:r w:rsidRPr="0087175A">
              <w:rPr>
                <w:rFonts w:ascii="Cambria" w:hAnsi="Cambria"/>
                <w:color w:val="000000"/>
              </w:rPr>
              <w:t>8 100</w:t>
            </w:r>
          </w:p>
        </w:tc>
        <w:tc>
          <w:tcPr>
            <w:tcW w:w="1984" w:type="dxa"/>
            <w:tcBorders>
              <w:top w:val="nil"/>
              <w:left w:val="nil"/>
              <w:bottom w:val="single" w:sz="4" w:space="0" w:color="auto"/>
              <w:right w:val="single" w:sz="4" w:space="0" w:color="auto"/>
            </w:tcBorders>
            <w:vAlign w:val="center"/>
            <w:hideMark/>
          </w:tcPr>
          <w:p w14:paraId="72A9BA28" w14:textId="77777777" w:rsidR="0087175A" w:rsidRPr="0087175A" w:rsidRDefault="0087175A" w:rsidP="0087175A">
            <w:pPr>
              <w:jc w:val="center"/>
              <w:rPr>
                <w:rFonts w:ascii="Cambria" w:hAnsi="Cambria"/>
                <w:color w:val="000000"/>
              </w:rPr>
            </w:pPr>
            <w:r w:rsidRPr="0087175A">
              <w:rPr>
                <w:rFonts w:ascii="Cambria" w:hAnsi="Cambria"/>
                <w:color w:val="000000"/>
              </w:rPr>
              <w:t>21 450</w:t>
            </w:r>
          </w:p>
        </w:tc>
        <w:tc>
          <w:tcPr>
            <w:tcW w:w="2679" w:type="dxa"/>
            <w:tcBorders>
              <w:top w:val="nil"/>
              <w:left w:val="single" w:sz="4" w:space="0" w:color="000000"/>
              <w:bottom w:val="single" w:sz="4" w:space="0" w:color="auto"/>
              <w:right w:val="single" w:sz="4" w:space="0" w:color="000000"/>
            </w:tcBorders>
            <w:vAlign w:val="center"/>
            <w:hideMark/>
          </w:tcPr>
          <w:p w14:paraId="74579381" w14:textId="77777777" w:rsidR="0087175A" w:rsidRPr="0087175A" w:rsidRDefault="0087175A" w:rsidP="0087175A">
            <w:pPr>
              <w:jc w:val="center"/>
              <w:rPr>
                <w:rFonts w:ascii="Cambria" w:hAnsi="Cambria"/>
                <w:color w:val="000000"/>
              </w:rPr>
            </w:pPr>
            <w:r w:rsidRPr="0087175A">
              <w:rPr>
                <w:rFonts w:ascii="Cambria" w:hAnsi="Cambria"/>
                <w:color w:val="000000"/>
              </w:rPr>
              <w:t>450 € (53.699,28 F CFP)</w:t>
            </w:r>
          </w:p>
        </w:tc>
      </w:tr>
      <w:tr w:rsidR="0087175A" w:rsidRPr="0087175A" w14:paraId="0D0BF25F" w14:textId="77777777" w:rsidTr="0087175A">
        <w:trPr>
          <w:trHeight w:val="630"/>
        </w:trPr>
        <w:tc>
          <w:tcPr>
            <w:tcW w:w="1760" w:type="dxa"/>
            <w:tcBorders>
              <w:top w:val="single" w:sz="4" w:space="0" w:color="auto"/>
              <w:left w:val="single" w:sz="4" w:space="0" w:color="auto"/>
              <w:bottom w:val="single" w:sz="4" w:space="0" w:color="auto"/>
              <w:right w:val="single" w:sz="4" w:space="0" w:color="auto"/>
            </w:tcBorders>
            <w:vAlign w:val="center"/>
            <w:hideMark/>
          </w:tcPr>
          <w:p w14:paraId="6CE14A83" w14:textId="77777777" w:rsidR="0087175A" w:rsidRPr="0087175A" w:rsidRDefault="0087175A" w:rsidP="0087175A">
            <w:pPr>
              <w:jc w:val="center"/>
              <w:rPr>
                <w:rFonts w:ascii="Cambria" w:hAnsi="Cambria"/>
                <w:b/>
                <w:bCs/>
                <w:color w:val="000000"/>
              </w:rPr>
            </w:pPr>
            <w:r w:rsidRPr="0087175A">
              <w:rPr>
                <w:rFonts w:ascii="Cambria" w:hAnsi="Cambria"/>
                <w:b/>
                <w:bCs/>
                <w:color w:val="000000"/>
              </w:rPr>
              <w:t>Entrave sur les voies publiques</w:t>
            </w:r>
          </w:p>
        </w:tc>
        <w:tc>
          <w:tcPr>
            <w:tcW w:w="1657" w:type="dxa"/>
            <w:tcBorders>
              <w:top w:val="single" w:sz="4" w:space="0" w:color="auto"/>
              <w:left w:val="nil"/>
              <w:bottom w:val="single" w:sz="4" w:space="0" w:color="auto"/>
              <w:right w:val="single" w:sz="4" w:space="0" w:color="auto"/>
            </w:tcBorders>
            <w:vAlign w:val="center"/>
            <w:hideMark/>
          </w:tcPr>
          <w:p w14:paraId="19F466A6" w14:textId="77777777" w:rsidR="0087175A" w:rsidRPr="0087175A" w:rsidRDefault="0087175A" w:rsidP="0087175A">
            <w:pPr>
              <w:jc w:val="center"/>
              <w:rPr>
                <w:rFonts w:ascii="Cambria" w:hAnsi="Cambria"/>
                <w:color w:val="000000"/>
              </w:rPr>
            </w:pPr>
            <w:r w:rsidRPr="0087175A">
              <w:rPr>
                <w:rFonts w:ascii="Cambria" w:hAnsi="Cambria"/>
                <w:color w:val="000000"/>
              </w:rPr>
              <w:t>LP. 211-2-2</w:t>
            </w:r>
          </w:p>
        </w:tc>
        <w:tc>
          <w:tcPr>
            <w:tcW w:w="1560" w:type="dxa"/>
            <w:tcBorders>
              <w:top w:val="single" w:sz="4" w:space="0" w:color="auto"/>
              <w:left w:val="nil"/>
              <w:bottom w:val="single" w:sz="4" w:space="0" w:color="auto"/>
              <w:right w:val="single" w:sz="4" w:space="0" w:color="auto"/>
            </w:tcBorders>
            <w:vAlign w:val="center"/>
            <w:hideMark/>
          </w:tcPr>
          <w:p w14:paraId="5012A6E0" w14:textId="77777777" w:rsidR="0087175A" w:rsidRPr="0087175A" w:rsidRDefault="0087175A" w:rsidP="0087175A">
            <w:pPr>
              <w:jc w:val="center"/>
              <w:rPr>
                <w:rFonts w:ascii="Cambria" w:hAnsi="Cambria"/>
                <w:color w:val="000000"/>
              </w:rPr>
            </w:pPr>
            <w:r w:rsidRPr="0087175A">
              <w:rPr>
                <w:rFonts w:ascii="Cambria" w:hAnsi="Cambria"/>
                <w:color w:val="000000"/>
              </w:rPr>
              <w:t>16 100</w:t>
            </w:r>
          </w:p>
        </w:tc>
        <w:tc>
          <w:tcPr>
            <w:tcW w:w="1984" w:type="dxa"/>
            <w:tcBorders>
              <w:top w:val="single" w:sz="4" w:space="0" w:color="auto"/>
              <w:left w:val="nil"/>
              <w:bottom w:val="single" w:sz="4" w:space="0" w:color="auto"/>
              <w:right w:val="single" w:sz="4" w:space="0" w:color="auto"/>
            </w:tcBorders>
            <w:vAlign w:val="center"/>
            <w:hideMark/>
          </w:tcPr>
          <w:p w14:paraId="7698BE88" w14:textId="77777777" w:rsidR="0087175A" w:rsidRPr="0087175A" w:rsidRDefault="0087175A" w:rsidP="0087175A">
            <w:pPr>
              <w:jc w:val="center"/>
              <w:rPr>
                <w:rFonts w:ascii="Cambria" w:hAnsi="Cambria"/>
                <w:color w:val="000000"/>
              </w:rPr>
            </w:pPr>
            <w:r w:rsidRPr="0087175A">
              <w:rPr>
                <w:rFonts w:ascii="Cambria" w:hAnsi="Cambria"/>
                <w:color w:val="000000"/>
              </w:rPr>
              <w:t>44 700</w:t>
            </w:r>
          </w:p>
        </w:tc>
        <w:tc>
          <w:tcPr>
            <w:tcW w:w="2679" w:type="dxa"/>
            <w:tcBorders>
              <w:top w:val="single" w:sz="4" w:space="0" w:color="auto"/>
              <w:left w:val="single" w:sz="4" w:space="0" w:color="000000"/>
              <w:bottom w:val="single" w:sz="4" w:space="0" w:color="000000"/>
              <w:right w:val="single" w:sz="4" w:space="0" w:color="000000"/>
            </w:tcBorders>
            <w:vAlign w:val="center"/>
            <w:hideMark/>
          </w:tcPr>
          <w:p w14:paraId="5CD25B78" w14:textId="77777777" w:rsidR="0087175A" w:rsidRPr="0087175A" w:rsidRDefault="0087175A" w:rsidP="0087175A">
            <w:pPr>
              <w:jc w:val="center"/>
              <w:rPr>
                <w:rFonts w:ascii="Cambria" w:hAnsi="Cambria"/>
                <w:color w:val="000000"/>
              </w:rPr>
            </w:pPr>
            <w:r w:rsidRPr="0087175A">
              <w:rPr>
                <w:rFonts w:ascii="Cambria" w:hAnsi="Cambria"/>
                <w:color w:val="000000"/>
              </w:rPr>
              <w:t>750 € (89.498, 81 F CFP)</w:t>
            </w:r>
          </w:p>
        </w:tc>
      </w:tr>
      <w:tr w:rsidR="0087175A" w:rsidRPr="0087175A" w14:paraId="2A5523D1" w14:textId="77777777" w:rsidTr="0087175A">
        <w:trPr>
          <w:trHeight w:val="945"/>
        </w:trPr>
        <w:tc>
          <w:tcPr>
            <w:tcW w:w="1760" w:type="dxa"/>
            <w:tcBorders>
              <w:top w:val="nil"/>
              <w:left w:val="single" w:sz="4" w:space="0" w:color="auto"/>
              <w:bottom w:val="single" w:sz="4" w:space="0" w:color="auto"/>
              <w:right w:val="single" w:sz="4" w:space="0" w:color="auto"/>
            </w:tcBorders>
            <w:vAlign w:val="center"/>
            <w:hideMark/>
          </w:tcPr>
          <w:p w14:paraId="1E5DEFF2" w14:textId="77777777" w:rsidR="0087175A" w:rsidRPr="0087175A" w:rsidRDefault="0087175A" w:rsidP="0087175A">
            <w:pPr>
              <w:jc w:val="center"/>
              <w:rPr>
                <w:rFonts w:ascii="Cambria" w:hAnsi="Cambria"/>
                <w:b/>
                <w:bCs/>
                <w:color w:val="000000"/>
              </w:rPr>
            </w:pPr>
            <w:r w:rsidRPr="0087175A">
              <w:rPr>
                <w:rFonts w:ascii="Cambria" w:hAnsi="Cambria"/>
                <w:b/>
                <w:bCs/>
                <w:color w:val="000000"/>
              </w:rPr>
              <w:t>Respect des arrêtés de police</w:t>
            </w:r>
          </w:p>
        </w:tc>
        <w:tc>
          <w:tcPr>
            <w:tcW w:w="1657" w:type="dxa"/>
            <w:tcBorders>
              <w:top w:val="nil"/>
              <w:left w:val="nil"/>
              <w:bottom w:val="single" w:sz="4" w:space="0" w:color="auto"/>
              <w:right w:val="single" w:sz="4" w:space="0" w:color="auto"/>
            </w:tcBorders>
            <w:vAlign w:val="center"/>
            <w:hideMark/>
          </w:tcPr>
          <w:p w14:paraId="14CACAB1" w14:textId="77777777" w:rsidR="0087175A" w:rsidRPr="0087175A" w:rsidRDefault="0087175A" w:rsidP="0087175A">
            <w:pPr>
              <w:jc w:val="center"/>
              <w:rPr>
                <w:rFonts w:ascii="Cambria" w:hAnsi="Cambria"/>
                <w:color w:val="000000"/>
              </w:rPr>
            </w:pPr>
            <w:r w:rsidRPr="0087175A">
              <w:rPr>
                <w:rFonts w:ascii="Cambria" w:hAnsi="Cambria"/>
                <w:color w:val="000000"/>
              </w:rPr>
              <w:t>LP. 440-1</w:t>
            </w:r>
          </w:p>
        </w:tc>
        <w:tc>
          <w:tcPr>
            <w:tcW w:w="1560" w:type="dxa"/>
            <w:tcBorders>
              <w:top w:val="nil"/>
              <w:left w:val="nil"/>
              <w:bottom w:val="single" w:sz="4" w:space="0" w:color="auto"/>
              <w:right w:val="single" w:sz="4" w:space="0" w:color="auto"/>
            </w:tcBorders>
            <w:vAlign w:val="center"/>
            <w:hideMark/>
          </w:tcPr>
          <w:p w14:paraId="42CEAF7C" w14:textId="77777777" w:rsidR="0087175A" w:rsidRPr="0087175A" w:rsidRDefault="0087175A" w:rsidP="0087175A">
            <w:pPr>
              <w:jc w:val="center"/>
              <w:rPr>
                <w:rFonts w:ascii="Cambria" w:hAnsi="Cambria"/>
                <w:color w:val="000000"/>
              </w:rPr>
            </w:pPr>
            <w:r w:rsidRPr="0087175A">
              <w:rPr>
                <w:rFonts w:ascii="Cambria" w:hAnsi="Cambria"/>
                <w:color w:val="000000"/>
              </w:rPr>
              <w:t>1 300</w:t>
            </w:r>
          </w:p>
        </w:tc>
        <w:tc>
          <w:tcPr>
            <w:tcW w:w="1984" w:type="dxa"/>
            <w:tcBorders>
              <w:top w:val="nil"/>
              <w:left w:val="nil"/>
              <w:bottom w:val="single" w:sz="4" w:space="0" w:color="auto"/>
              <w:right w:val="single" w:sz="4" w:space="0" w:color="auto"/>
            </w:tcBorders>
            <w:vAlign w:val="center"/>
            <w:hideMark/>
          </w:tcPr>
          <w:p w14:paraId="0E2EF0F5" w14:textId="77777777" w:rsidR="0087175A" w:rsidRPr="0087175A" w:rsidRDefault="0087175A" w:rsidP="0087175A">
            <w:pPr>
              <w:jc w:val="center"/>
              <w:rPr>
                <w:rFonts w:ascii="Cambria" w:hAnsi="Cambria"/>
                <w:color w:val="000000"/>
              </w:rPr>
            </w:pPr>
            <w:r w:rsidRPr="0087175A">
              <w:rPr>
                <w:rFonts w:ascii="Cambria" w:hAnsi="Cambria"/>
                <w:color w:val="000000"/>
              </w:rPr>
              <w:t>3 900</w:t>
            </w:r>
          </w:p>
        </w:tc>
        <w:tc>
          <w:tcPr>
            <w:tcW w:w="2679" w:type="dxa"/>
            <w:tcBorders>
              <w:top w:val="nil"/>
              <w:left w:val="single" w:sz="4" w:space="0" w:color="000000"/>
              <w:bottom w:val="single" w:sz="4" w:space="0" w:color="000000"/>
              <w:right w:val="single" w:sz="4" w:space="0" w:color="000000"/>
            </w:tcBorders>
            <w:vAlign w:val="center"/>
            <w:hideMark/>
          </w:tcPr>
          <w:p w14:paraId="39DE905D" w14:textId="77777777" w:rsidR="0087175A" w:rsidRPr="0087175A" w:rsidRDefault="0087175A" w:rsidP="0087175A">
            <w:pPr>
              <w:jc w:val="center"/>
              <w:rPr>
                <w:rFonts w:ascii="Cambria" w:hAnsi="Cambria"/>
                <w:color w:val="000000"/>
              </w:rPr>
            </w:pPr>
            <w:r w:rsidRPr="0087175A">
              <w:rPr>
                <w:rFonts w:ascii="Cambria" w:hAnsi="Cambria"/>
                <w:color w:val="000000"/>
              </w:rPr>
              <w:t>38 € (4.534,61 F CFP)</w:t>
            </w:r>
          </w:p>
        </w:tc>
      </w:tr>
      <w:tr w:rsidR="0087175A" w:rsidRPr="0087175A" w14:paraId="261A9E07" w14:textId="77777777" w:rsidTr="0087175A">
        <w:trPr>
          <w:trHeight w:val="945"/>
        </w:trPr>
        <w:tc>
          <w:tcPr>
            <w:tcW w:w="1760" w:type="dxa"/>
            <w:tcBorders>
              <w:top w:val="nil"/>
              <w:left w:val="single" w:sz="4" w:space="0" w:color="auto"/>
              <w:bottom w:val="single" w:sz="4" w:space="0" w:color="auto"/>
              <w:right w:val="single" w:sz="4" w:space="0" w:color="auto"/>
            </w:tcBorders>
            <w:vAlign w:val="center"/>
            <w:hideMark/>
          </w:tcPr>
          <w:p w14:paraId="1F4BCF36"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Abandon de déchets dans un espace classé</w:t>
            </w:r>
          </w:p>
        </w:tc>
        <w:tc>
          <w:tcPr>
            <w:tcW w:w="1657" w:type="dxa"/>
            <w:tcBorders>
              <w:top w:val="nil"/>
              <w:left w:val="nil"/>
              <w:bottom w:val="single" w:sz="4" w:space="0" w:color="auto"/>
              <w:right w:val="single" w:sz="4" w:space="0" w:color="auto"/>
            </w:tcBorders>
            <w:vAlign w:val="center"/>
            <w:hideMark/>
          </w:tcPr>
          <w:p w14:paraId="3A590CA1" w14:textId="77777777" w:rsidR="0087175A" w:rsidRPr="0087175A" w:rsidRDefault="0087175A" w:rsidP="0087175A">
            <w:pPr>
              <w:jc w:val="center"/>
              <w:rPr>
                <w:rFonts w:ascii="Cambria" w:hAnsi="Cambria"/>
                <w:color w:val="000000"/>
              </w:rPr>
            </w:pPr>
            <w:r w:rsidRPr="0087175A">
              <w:rPr>
                <w:rFonts w:ascii="Cambria" w:hAnsi="Cambria"/>
                <w:color w:val="000000"/>
              </w:rPr>
              <w:t>LP. 124-83</w:t>
            </w:r>
          </w:p>
        </w:tc>
        <w:tc>
          <w:tcPr>
            <w:tcW w:w="1560" w:type="dxa"/>
            <w:tcBorders>
              <w:top w:val="nil"/>
              <w:left w:val="nil"/>
              <w:bottom w:val="single" w:sz="4" w:space="0" w:color="auto"/>
              <w:right w:val="single" w:sz="4" w:space="0" w:color="auto"/>
            </w:tcBorders>
            <w:vAlign w:val="center"/>
            <w:hideMark/>
          </w:tcPr>
          <w:p w14:paraId="0546574E" w14:textId="77777777" w:rsidR="0087175A" w:rsidRPr="0087175A" w:rsidRDefault="0087175A" w:rsidP="0087175A">
            <w:pPr>
              <w:jc w:val="center"/>
              <w:rPr>
                <w:rFonts w:ascii="Cambria" w:hAnsi="Cambria"/>
                <w:color w:val="000000"/>
              </w:rPr>
            </w:pPr>
            <w:r w:rsidRPr="0087175A">
              <w:rPr>
                <w:rFonts w:ascii="Cambria" w:hAnsi="Cambria"/>
                <w:color w:val="000000"/>
              </w:rPr>
              <w:t>8 100</w:t>
            </w:r>
          </w:p>
        </w:tc>
        <w:tc>
          <w:tcPr>
            <w:tcW w:w="1984" w:type="dxa"/>
            <w:tcBorders>
              <w:top w:val="nil"/>
              <w:left w:val="nil"/>
              <w:bottom w:val="single" w:sz="4" w:space="0" w:color="auto"/>
              <w:right w:val="single" w:sz="4" w:space="0" w:color="auto"/>
            </w:tcBorders>
            <w:vAlign w:val="center"/>
            <w:hideMark/>
          </w:tcPr>
          <w:p w14:paraId="76900481" w14:textId="77777777" w:rsidR="0087175A" w:rsidRPr="0087175A" w:rsidRDefault="0087175A" w:rsidP="0087175A">
            <w:pPr>
              <w:jc w:val="center"/>
              <w:rPr>
                <w:rFonts w:ascii="Cambria" w:hAnsi="Cambria"/>
                <w:color w:val="000000"/>
              </w:rPr>
            </w:pPr>
            <w:r w:rsidRPr="0087175A">
              <w:rPr>
                <w:rFonts w:ascii="Cambria" w:hAnsi="Cambria"/>
                <w:color w:val="000000"/>
              </w:rPr>
              <w:t>21 450</w:t>
            </w:r>
          </w:p>
        </w:tc>
        <w:tc>
          <w:tcPr>
            <w:tcW w:w="2679" w:type="dxa"/>
            <w:tcBorders>
              <w:top w:val="nil"/>
              <w:left w:val="single" w:sz="4" w:space="0" w:color="000000"/>
              <w:bottom w:val="single" w:sz="4" w:space="0" w:color="000000"/>
              <w:right w:val="single" w:sz="4" w:space="0" w:color="000000"/>
            </w:tcBorders>
            <w:vAlign w:val="center"/>
            <w:hideMark/>
          </w:tcPr>
          <w:p w14:paraId="0E09B969" w14:textId="77777777" w:rsidR="0087175A" w:rsidRPr="0087175A" w:rsidRDefault="0087175A" w:rsidP="0087175A">
            <w:pPr>
              <w:jc w:val="center"/>
              <w:rPr>
                <w:rFonts w:ascii="Cambria" w:hAnsi="Cambria"/>
                <w:color w:val="000000"/>
              </w:rPr>
            </w:pPr>
            <w:r w:rsidRPr="0087175A">
              <w:rPr>
                <w:rFonts w:ascii="Cambria" w:hAnsi="Cambria"/>
                <w:color w:val="000000"/>
              </w:rPr>
              <w:t>450 € (53.699,28 F CFP)</w:t>
            </w:r>
          </w:p>
        </w:tc>
      </w:tr>
      <w:tr w:rsidR="0087175A" w:rsidRPr="0087175A" w14:paraId="75A73E54" w14:textId="77777777" w:rsidTr="0087175A">
        <w:trPr>
          <w:trHeight w:val="630"/>
        </w:trPr>
        <w:tc>
          <w:tcPr>
            <w:tcW w:w="1760" w:type="dxa"/>
            <w:tcBorders>
              <w:top w:val="nil"/>
              <w:left w:val="single" w:sz="4" w:space="0" w:color="auto"/>
              <w:bottom w:val="single" w:sz="4" w:space="0" w:color="auto"/>
              <w:right w:val="single" w:sz="4" w:space="0" w:color="auto"/>
            </w:tcBorders>
            <w:vAlign w:val="center"/>
            <w:hideMark/>
          </w:tcPr>
          <w:p w14:paraId="662D44D0" w14:textId="77777777" w:rsidR="0087175A" w:rsidRPr="0087175A" w:rsidRDefault="0087175A" w:rsidP="0087175A">
            <w:pPr>
              <w:jc w:val="center"/>
              <w:rPr>
                <w:rFonts w:ascii="Cambria" w:hAnsi="Cambria"/>
                <w:b/>
                <w:bCs/>
                <w:color w:val="000000"/>
              </w:rPr>
            </w:pPr>
            <w:r w:rsidRPr="0087175A">
              <w:rPr>
                <w:rFonts w:ascii="Cambria" w:hAnsi="Cambria"/>
                <w:b/>
                <w:bCs/>
                <w:color w:val="000000"/>
              </w:rPr>
              <w:t>Abandon de déchets</w:t>
            </w:r>
          </w:p>
        </w:tc>
        <w:tc>
          <w:tcPr>
            <w:tcW w:w="1657" w:type="dxa"/>
            <w:tcBorders>
              <w:top w:val="nil"/>
              <w:left w:val="nil"/>
              <w:bottom w:val="single" w:sz="4" w:space="0" w:color="auto"/>
              <w:right w:val="single" w:sz="4" w:space="0" w:color="auto"/>
            </w:tcBorders>
            <w:vAlign w:val="center"/>
            <w:hideMark/>
          </w:tcPr>
          <w:p w14:paraId="71B5CA55" w14:textId="77777777" w:rsidR="0087175A" w:rsidRPr="0087175A" w:rsidRDefault="0087175A" w:rsidP="0087175A">
            <w:pPr>
              <w:jc w:val="center"/>
              <w:rPr>
                <w:rFonts w:ascii="Cambria" w:hAnsi="Cambria"/>
                <w:color w:val="000000"/>
              </w:rPr>
            </w:pPr>
            <w:r w:rsidRPr="0087175A">
              <w:rPr>
                <w:rFonts w:ascii="Cambria" w:hAnsi="Cambria"/>
                <w:color w:val="000000"/>
              </w:rPr>
              <w:t>LP. 211-2-2</w:t>
            </w:r>
          </w:p>
        </w:tc>
        <w:tc>
          <w:tcPr>
            <w:tcW w:w="1560" w:type="dxa"/>
            <w:tcBorders>
              <w:top w:val="nil"/>
              <w:left w:val="nil"/>
              <w:bottom w:val="single" w:sz="4" w:space="0" w:color="auto"/>
              <w:right w:val="single" w:sz="4" w:space="0" w:color="auto"/>
            </w:tcBorders>
            <w:vAlign w:val="center"/>
            <w:hideMark/>
          </w:tcPr>
          <w:p w14:paraId="662018DC" w14:textId="77777777" w:rsidR="0087175A" w:rsidRPr="0087175A" w:rsidRDefault="0087175A" w:rsidP="0087175A">
            <w:pPr>
              <w:jc w:val="center"/>
              <w:rPr>
                <w:rFonts w:ascii="Cambria" w:hAnsi="Cambria"/>
                <w:color w:val="000000"/>
              </w:rPr>
            </w:pPr>
            <w:r w:rsidRPr="0087175A">
              <w:rPr>
                <w:rFonts w:ascii="Cambria" w:hAnsi="Cambria"/>
                <w:color w:val="000000"/>
              </w:rPr>
              <w:t>8 100</w:t>
            </w:r>
          </w:p>
        </w:tc>
        <w:tc>
          <w:tcPr>
            <w:tcW w:w="1984" w:type="dxa"/>
            <w:tcBorders>
              <w:top w:val="nil"/>
              <w:left w:val="nil"/>
              <w:bottom w:val="single" w:sz="4" w:space="0" w:color="auto"/>
              <w:right w:val="single" w:sz="4" w:space="0" w:color="auto"/>
            </w:tcBorders>
            <w:vAlign w:val="center"/>
            <w:hideMark/>
          </w:tcPr>
          <w:p w14:paraId="7866A508" w14:textId="77777777" w:rsidR="0087175A" w:rsidRPr="0087175A" w:rsidRDefault="0087175A" w:rsidP="0087175A">
            <w:pPr>
              <w:jc w:val="center"/>
              <w:rPr>
                <w:rFonts w:ascii="Cambria" w:hAnsi="Cambria"/>
                <w:color w:val="000000"/>
              </w:rPr>
            </w:pPr>
            <w:r w:rsidRPr="0087175A">
              <w:rPr>
                <w:rFonts w:ascii="Cambria" w:hAnsi="Cambria"/>
                <w:color w:val="000000"/>
              </w:rPr>
              <w:t>21 450</w:t>
            </w:r>
          </w:p>
        </w:tc>
        <w:tc>
          <w:tcPr>
            <w:tcW w:w="2679" w:type="dxa"/>
            <w:tcBorders>
              <w:top w:val="nil"/>
              <w:left w:val="single" w:sz="4" w:space="0" w:color="000000"/>
              <w:bottom w:val="single" w:sz="4" w:space="0" w:color="000000"/>
              <w:right w:val="single" w:sz="4" w:space="0" w:color="000000"/>
            </w:tcBorders>
            <w:vAlign w:val="center"/>
            <w:hideMark/>
          </w:tcPr>
          <w:p w14:paraId="14D62071" w14:textId="77777777" w:rsidR="0087175A" w:rsidRPr="0087175A" w:rsidRDefault="0087175A" w:rsidP="0087175A">
            <w:pPr>
              <w:jc w:val="center"/>
              <w:rPr>
                <w:rFonts w:ascii="Cambria" w:hAnsi="Cambria"/>
                <w:color w:val="000000"/>
              </w:rPr>
            </w:pPr>
            <w:r w:rsidRPr="0087175A">
              <w:rPr>
                <w:rFonts w:ascii="Cambria" w:hAnsi="Cambria"/>
                <w:color w:val="000000"/>
              </w:rPr>
              <w:t>450 € (53.699,28 F CFP)</w:t>
            </w:r>
          </w:p>
        </w:tc>
      </w:tr>
      <w:tr w:rsidR="0087175A" w:rsidRPr="0087175A" w14:paraId="5410DD84" w14:textId="77777777" w:rsidTr="0087175A">
        <w:trPr>
          <w:trHeight w:val="945"/>
        </w:trPr>
        <w:tc>
          <w:tcPr>
            <w:tcW w:w="1760" w:type="dxa"/>
            <w:tcBorders>
              <w:top w:val="nil"/>
              <w:left w:val="single" w:sz="4" w:space="0" w:color="auto"/>
              <w:bottom w:val="single" w:sz="4" w:space="0" w:color="auto"/>
              <w:right w:val="single" w:sz="4" w:space="0" w:color="auto"/>
            </w:tcBorders>
            <w:vAlign w:val="center"/>
            <w:hideMark/>
          </w:tcPr>
          <w:p w14:paraId="2C0F0DF5" w14:textId="77777777" w:rsidR="0087175A" w:rsidRPr="0087175A" w:rsidRDefault="0087175A" w:rsidP="0087175A">
            <w:pPr>
              <w:jc w:val="center"/>
              <w:rPr>
                <w:rFonts w:ascii="Cambria" w:hAnsi="Cambria"/>
                <w:b/>
                <w:bCs/>
                <w:color w:val="000000"/>
              </w:rPr>
            </w:pPr>
            <w:proofErr w:type="spellStart"/>
            <w:r w:rsidRPr="0087175A">
              <w:rPr>
                <w:rFonts w:ascii="Cambria" w:hAnsi="Cambria"/>
                <w:b/>
                <w:bCs/>
                <w:color w:val="000000"/>
              </w:rPr>
              <w:t>Non respect</w:t>
            </w:r>
            <w:proofErr w:type="spellEnd"/>
            <w:r w:rsidRPr="0087175A">
              <w:rPr>
                <w:rFonts w:ascii="Cambria" w:hAnsi="Cambria"/>
                <w:b/>
                <w:bCs/>
                <w:color w:val="000000"/>
              </w:rPr>
              <w:t xml:space="preserve"> des horaires de collecte</w:t>
            </w:r>
          </w:p>
        </w:tc>
        <w:tc>
          <w:tcPr>
            <w:tcW w:w="1657" w:type="dxa"/>
            <w:tcBorders>
              <w:top w:val="nil"/>
              <w:left w:val="nil"/>
              <w:bottom w:val="single" w:sz="4" w:space="0" w:color="auto"/>
              <w:right w:val="single" w:sz="4" w:space="0" w:color="auto"/>
            </w:tcBorders>
            <w:vAlign w:val="center"/>
            <w:hideMark/>
          </w:tcPr>
          <w:p w14:paraId="58974A24" w14:textId="77777777" w:rsidR="0087175A" w:rsidRPr="0087175A" w:rsidRDefault="0087175A" w:rsidP="0087175A">
            <w:pPr>
              <w:jc w:val="center"/>
              <w:rPr>
                <w:rFonts w:ascii="Cambria" w:hAnsi="Cambria"/>
                <w:color w:val="000000"/>
              </w:rPr>
            </w:pPr>
            <w:r w:rsidRPr="0087175A">
              <w:rPr>
                <w:rFonts w:ascii="Cambria" w:hAnsi="Cambria"/>
                <w:color w:val="000000"/>
              </w:rPr>
              <w:t>LP. 211-2-1</w:t>
            </w:r>
          </w:p>
        </w:tc>
        <w:tc>
          <w:tcPr>
            <w:tcW w:w="1560" w:type="dxa"/>
            <w:tcBorders>
              <w:top w:val="nil"/>
              <w:left w:val="nil"/>
              <w:bottom w:val="single" w:sz="4" w:space="0" w:color="auto"/>
              <w:right w:val="single" w:sz="4" w:space="0" w:color="auto"/>
            </w:tcBorders>
            <w:vAlign w:val="center"/>
            <w:hideMark/>
          </w:tcPr>
          <w:p w14:paraId="3F0434A0" w14:textId="77777777" w:rsidR="0087175A" w:rsidRPr="0087175A" w:rsidRDefault="0087175A" w:rsidP="0087175A">
            <w:pPr>
              <w:jc w:val="center"/>
              <w:rPr>
                <w:rFonts w:ascii="Cambria" w:hAnsi="Cambria"/>
                <w:color w:val="000000"/>
              </w:rPr>
            </w:pPr>
            <w:r w:rsidRPr="0087175A">
              <w:rPr>
                <w:rFonts w:ascii="Cambria" w:hAnsi="Cambria"/>
                <w:color w:val="000000"/>
              </w:rPr>
              <w:t>4 150</w:t>
            </w:r>
          </w:p>
        </w:tc>
        <w:tc>
          <w:tcPr>
            <w:tcW w:w="1984" w:type="dxa"/>
            <w:tcBorders>
              <w:top w:val="nil"/>
              <w:left w:val="nil"/>
              <w:bottom w:val="single" w:sz="4" w:space="0" w:color="auto"/>
              <w:right w:val="single" w:sz="4" w:space="0" w:color="auto"/>
            </w:tcBorders>
            <w:vAlign w:val="center"/>
            <w:hideMark/>
          </w:tcPr>
          <w:p w14:paraId="1F63A708" w14:textId="77777777" w:rsidR="0087175A" w:rsidRPr="0087175A" w:rsidRDefault="0087175A" w:rsidP="0087175A">
            <w:pPr>
              <w:jc w:val="center"/>
              <w:rPr>
                <w:rFonts w:ascii="Cambria" w:hAnsi="Cambria"/>
                <w:color w:val="000000"/>
              </w:rPr>
            </w:pPr>
            <w:r w:rsidRPr="0087175A">
              <w:rPr>
                <w:rFonts w:ascii="Cambria" w:hAnsi="Cambria"/>
                <w:color w:val="000000"/>
              </w:rPr>
              <w:t>8 900</w:t>
            </w:r>
          </w:p>
        </w:tc>
        <w:tc>
          <w:tcPr>
            <w:tcW w:w="2679" w:type="dxa"/>
            <w:tcBorders>
              <w:top w:val="nil"/>
              <w:left w:val="single" w:sz="4" w:space="0" w:color="000000"/>
              <w:bottom w:val="single" w:sz="4" w:space="0" w:color="000000"/>
              <w:right w:val="single" w:sz="4" w:space="0" w:color="000000"/>
            </w:tcBorders>
            <w:vAlign w:val="center"/>
            <w:hideMark/>
          </w:tcPr>
          <w:p w14:paraId="4D0BADA1" w14:textId="77777777" w:rsidR="0087175A" w:rsidRPr="0087175A" w:rsidRDefault="0087175A" w:rsidP="0087175A">
            <w:pPr>
              <w:jc w:val="center"/>
              <w:rPr>
                <w:rFonts w:ascii="Cambria" w:hAnsi="Cambria"/>
                <w:color w:val="000000"/>
              </w:rPr>
            </w:pPr>
            <w:r w:rsidRPr="0087175A">
              <w:rPr>
                <w:rFonts w:ascii="Cambria" w:hAnsi="Cambria"/>
                <w:color w:val="000000"/>
              </w:rPr>
              <w:t>150 € (17.899,76 F CFP)</w:t>
            </w:r>
          </w:p>
        </w:tc>
      </w:tr>
    </w:tbl>
    <w:p w14:paraId="3565CDDE" w14:textId="77777777" w:rsidR="0087175A" w:rsidRDefault="0087175A" w:rsidP="0087175A">
      <w:pPr>
        <w:pStyle w:val="-LettreTexteGEDA"/>
        <w:tabs>
          <w:tab w:val="left" w:pos="851"/>
        </w:tabs>
        <w:spacing w:before="0"/>
        <w:ind w:firstLine="0"/>
        <w:rPr>
          <w:rFonts w:ascii="Cambria" w:hAnsi="Cambria"/>
          <w:noProof w:val="0"/>
        </w:rPr>
      </w:pPr>
    </w:p>
    <w:p w14:paraId="260EFD9A" w14:textId="77777777" w:rsidR="0087175A" w:rsidRDefault="0087175A" w:rsidP="0087175A">
      <w:pPr>
        <w:pStyle w:val="-LettreTexteGEDA"/>
        <w:tabs>
          <w:tab w:val="left" w:pos="851"/>
        </w:tabs>
        <w:spacing w:before="0"/>
        <w:ind w:firstLine="0"/>
        <w:rPr>
          <w:rFonts w:ascii="Cambria" w:hAnsi="Cambria"/>
          <w:noProof w:val="0"/>
        </w:rPr>
      </w:pPr>
      <w:r w:rsidRPr="0087175A">
        <w:rPr>
          <w:rFonts w:ascii="Cambria" w:hAnsi="Cambria"/>
          <w:noProof w:val="0"/>
        </w:rPr>
        <w:t>L’intégration de ces différentes contraventions pénales dans le code de l’environnement de la Polynésie française va faciliter le travail de verbalisation des agents assermentés de contrôle du Pays et ceux des brigades municipales.</w:t>
      </w:r>
    </w:p>
    <w:p w14:paraId="1D9787FB" w14:textId="77777777" w:rsidR="0087175A" w:rsidRPr="0087175A" w:rsidRDefault="0087175A" w:rsidP="0087175A">
      <w:pPr>
        <w:pStyle w:val="-LettreTexteGEDA"/>
        <w:tabs>
          <w:tab w:val="left" w:pos="851"/>
        </w:tabs>
        <w:spacing w:before="0"/>
        <w:ind w:firstLine="0"/>
        <w:rPr>
          <w:rFonts w:ascii="Cambria" w:hAnsi="Cambria"/>
          <w:noProof w:val="0"/>
        </w:rPr>
      </w:pPr>
    </w:p>
    <w:p w14:paraId="010A0C77" w14:textId="4A66F51E" w:rsidR="0087175A" w:rsidRPr="0087175A" w:rsidRDefault="0087175A" w:rsidP="0087175A">
      <w:pPr>
        <w:pStyle w:val="-LettreTexteGEDA"/>
        <w:spacing w:before="0"/>
        <w:ind w:firstLine="0"/>
        <w:rPr>
          <w:rFonts w:ascii="Cambria" w:hAnsi="Cambria"/>
          <w:noProof w:val="0"/>
        </w:rPr>
      </w:pPr>
      <w:r w:rsidRPr="0087175A">
        <w:rPr>
          <w:rFonts w:ascii="Cambria" w:hAnsi="Cambria"/>
          <w:noProof w:val="0"/>
        </w:rPr>
        <w:t>L’officier du ministère public, en charge de la gestion des carnets à souches, est extrêmement favorable à cette intégration.</w:t>
      </w:r>
      <w:r w:rsidR="00165A35">
        <w:rPr>
          <w:rFonts w:ascii="Cambria" w:hAnsi="Cambria"/>
          <w:noProof w:val="0"/>
        </w:rPr>
        <w:t xml:space="preserve">  </w:t>
      </w:r>
      <w:r w:rsidRPr="0087175A">
        <w:rPr>
          <w:rFonts w:ascii="Cambria" w:hAnsi="Cambria"/>
          <w:noProof w:val="0"/>
        </w:rPr>
        <w:t>Il propose, pour des raisons de facilité de gestion des carnets, de supprimer le modèle de carnet à souches spécifique créé par l’arrêté du 24 décembre 2015, au profit de celui prévu par l’arrêté du 8 mars 2007 portant création des carnets à souches de contravention en matière de circulation routière.</w:t>
      </w:r>
      <w:r w:rsidR="00165A35">
        <w:rPr>
          <w:rFonts w:ascii="Cambria" w:hAnsi="Cambria"/>
          <w:noProof w:val="0"/>
        </w:rPr>
        <w:t xml:space="preserve"> </w:t>
      </w:r>
      <w:r w:rsidRPr="0087175A">
        <w:rPr>
          <w:rFonts w:ascii="Cambria" w:hAnsi="Cambria"/>
          <w:noProof w:val="0"/>
        </w:rPr>
        <w:t>Cette opération permettra de verbaliser les contraventions environnementales sans augmenter le nombre de carnet</w:t>
      </w:r>
      <w:r w:rsidR="00165A35">
        <w:rPr>
          <w:rFonts w:ascii="Cambria" w:hAnsi="Cambria"/>
          <w:noProof w:val="0"/>
        </w:rPr>
        <w:t>s</w:t>
      </w:r>
      <w:r w:rsidRPr="0087175A">
        <w:rPr>
          <w:rFonts w:ascii="Cambria" w:hAnsi="Cambria"/>
          <w:noProof w:val="0"/>
        </w:rPr>
        <w:t xml:space="preserve"> à gérer par l’agent.</w:t>
      </w:r>
    </w:p>
    <w:p w14:paraId="798CD51E" w14:textId="77777777" w:rsidR="0087175A" w:rsidRPr="0087175A" w:rsidRDefault="0087175A" w:rsidP="0087175A">
      <w:pPr>
        <w:pStyle w:val="Titre"/>
        <w:spacing w:before="0"/>
        <w:rPr>
          <w:rFonts w:ascii="Cambria" w:eastAsia="Arial Unicode MS" w:hAnsi="Cambria"/>
          <w:sz w:val="2"/>
        </w:rPr>
      </w:pPr>
    </w:p>
    <w:p w14:paraId="65CEFF11" w14:textId="77777777" w:rsidR="0087175A" w:rsidRDefault="0087175A" w:rsidP="0087175A">
      <w:pPr>
        <w:pStyle w:val="Paragraphedeliste"/>
        <w:ind w:left="0"/>
        <w:contextualSpacing w:val="0"/>
        <w:rPr>
          <w:rFonts w:ascii="Cambria" w:hAnsi="Cambria"/>
        </w:rPr>
      </w:pPr>
    </w:p>
    <w:p w14:paraId="1EEFA84A" w14:textId="77777777" w:rsidR="002D308A" w:rsidRPr="002D308A" w:rsidRDefault="002D308A" w:rsidP="002D308A">
      <w:pPr>
        <w:rPr>
          <w:rFonts w:ascii="Cambria" w:hAnsi="Cambria"/>
        </w:rPr>
      </w:pPr>
    </w:p>
    <w:p w14:paraId="4D100590" w14:textId="77777777" w:rsidR="002D308A" w:rsidRPr="00A56D78" w:rsidRDefault="002D308A" w:rsidP="002D308A">
      <w:pPr>
        <w:jc w:val="both"/>
        <w:rPr>
          <w:rStyle w:val="Accentuation"/>
          <w:rFonts w:ascii="Cambria" w:hAnsi="Cambria"/>
          <w:b/>
          <w:i w:val="0"/>
        </w:rPr>
      </w:pPr>
      <w:r w:rsidRPr="00A56D78">
        <w:rPr>
          <w:rStyle w:val="Accentuation"/>
          <w:rFonts w:ascii="Cambria" w:hAnsi="Cambria"/>
          <w:b/>
          <w:i w:val="0"/>
        </w:rPr>
        <w:t xml:space="preserve">Entretien des sites archéologiques de la vallée de </w:t>
      </w:r>
      <w:proofErr w:type="spellStart"/>
      <w:r w:rsidRPr="00A56D78">
        <w:rPr>
          <w:rStyle w:val="Accentuation"/>
          <w:rFonts w:ascii="Cambria" w:hAnsi="Cambria"/>
          <w:b/>
          <w:i w:val="0"/>
        </w:rPr>
        <w:t>Papenoo</w:t>
      </w:r>
      <w:proofErr w:type="spellEnd"/>
      <w:r w:rsidRPr="00A56D78">
        <w:rPr>
          <w:rStyle w:val="Accentuation"/>
          <w:rFonts w:ascii="Cambria" w:hAnsi="Cambria"/>
          <w:b/>
          <w:i w:val="0"/>
        </w:rPr>
        <w:t xml:space="preserve"> : subvention de fonctionnement en faveur de l’association </w:t>
      </w:r>
      <w:proofErr w:type="spellStart"/>
      <w:r w:rsidRPr="00A56D78">
        <w:rPr>
          <w:rStyle w:val="Accentuation"/>
          <w:rFonts w:ascii="Cambria" w:hAnsi="Cambria"/>
          <w:b/>
          <w:i w:val="0"/>
        </w:rPr>
        <w:t>Haururu</w:t>
      </w:r>
      <w:proofErr w:type="spellEnd"/>
    </w:p>
    <w:p w14:paraId="7AB238EE" w14:textId="77777777" w:rsidR="002D308A" w:rsidRPr="00A56D78" w:rsidRDefault="002D308A" w:rsidP="002D308A">
      <w:pPr>
        <w:pStyle w:val="-LettreSuiteORefPJGEDA"/>
        <w:ind w:left="0"/>
        <w:rPr>
          <w:rFonts w:ascii="Cambria" w:hAnsi="Cambria"/>
          <w:szCs w:val="24"/>
        </w:rPr>
      </w:pPr>
    </w:p>
    <w:p w14:paraId="223EF793" w14:textId="77777777" w:rsidR="002D308A" w:rsidRPr="00A56D78" w:rsidRDefault="002D308A" w:rsidP="002D308A">
      <w:pPr>
        <w:pStyle w:val="-LettreTexteGEDA"/>
        <w:spacing w:before="0"/>
        <w:ind w:firstLine="0"/>
        <w:rPr>
          <w:rFonts w:ascii="Cambria" w:hAnsi="Cambria"/>
          <w:noProof w:val="0"/>
          <w:szCs w:val="24"/>
        </w:rPr>
      </w:pPr>
      <w:r w:rsidRPr="00A56D78">
        <w:rPr>
          <w:rFonts w:ascii="Cambria" w:hAnsi="Cambria"/>
          <w:noProof w:val="0"/>
          <w:szCs w:val="24"/>
        </w:rPr>
        <w:t xml:space="preserve">Installée dans la vallée de </w:t>
      </w:r>
      <w:proofErr w:type="spellStart"/>
      <w:r w:rsidRPr="00A56D78">
        <w:rPr>
          <w:rFonts w:ascii="Cambria" w:hAnsi="Cambria"/>
          <w:noProof w:val="0"/>
          <w:szCs w:val="24"/>
        </w:rPr>
        <w:t>Papenoo</w:t>
      </w:r>
      <w:proofErr w:type="spellEnd"/>
      <w:r w:rsidRPr="00A56D78">
        <w:rPr>
          <w:rFonts w:ascii="Cambria" w:hAnsi="Cambria"/>
          <w:noProof w:val="0"/>
          <w:szCs w:val="24"/>
        </w:rPr>
        <w:t xml:space="preserve">, au </w:t>
      </w:r>
      <w:proofErr w:type="spellStart"/>
      <w:r w:rsidRPr="00A56D78">
        <w:rPr>
          <w:rFonts w:ascii="Cambria" w:hAnsi="Cambria"/>
          <w:noProof w:val="0"/>
          <w:szCs w:val="24"/>
        </w:rPr>
        <w:t>lieu dit</w:t>
      </w:r>
      <w:proofErr w:type="spellEnd"/>
      <w:r w:rsidRPr="00A56D78">
        <w:rPr>
          <w:rFonts w:ascii="Cambria" w:hAnsi="Cambria"/>
          <w:noProof w:val="0"/>
          <w:szCs w:val="24"/>
        </w:rPr>
        <w:t xml:space="preserve"> </w:t>
      </w:r>
      <w:proofErr w:type="spellStart"/>
      <w:r w:rsidRPr="00A56D78">
        <w:rPr>
          <w:rFonts w:ascii="Cambria" w:hAnsi="Cambria"/>
          <w:noProof w:val="0"/>
          <w:szCs w:val="24"/>
        </w:rPr>
        <w:t>Fare</w:t>
      </w:r>
      <w:proofErr w:type="spellEnd"/>
      <w:r w:rsidRPr="00A56D78">
        <w:rPr>
          <w:rFonts w:ascii="Cambria" w:hAnsi="Cambria"/>
          <w:noProof w:val="0"/>
          <w:szCs w:val="24"/>
        </w:rPr>
        <w:t xml:space="preserve"> </w:t>
      </w:r>
      <w:proofErr w:type="spellStart"/>
      <w:r w:rsidRPr="00A56D78">
        <w:rPr>
          <w:rFonts w:ascii="Cambria" w:hAnsi="Cambria"/>
          <w:noProof w:val="0"/>
          <w:szCs w:val="24"/>
        </w:rPr>
        <w:t>Hape</w:t>
      </w:r>
      <w:proofErr w:type="spellEnd"/>
      <w:r w:rsidRPr="00A56D78">
        <w:rPr>
          <w:rFonts w:ascii="Cambria" w:hAnsi="Cambria"/>
          <w:noProof w:val="0"/>
          <w:szCs w:val="24"/>
        </w:rPr>
        <w:t xml:space="preserve">, l’association « Protection, aménagement et développement - </w:t>
      </w:r>
      <w:proofErr w:type="spellStart"/>
      <w:r w:rsidRPr="00A56D78">
        <w:rPr>
          <w:rFonts w:ascii="Cambria" w:hAnsi="Cambria"/>
          <w:noProof w:val="0"/>
          <w:szCs w:val="24"/>
        </w:rPr>
        <w:t>Haururu</w:t>
      </w:r>
      <w:proofErr w:type="spellEnd"/>
      <w:r w:rsidRPr="00A56D78">
        <w:rPr>
          <w:rFonts w:ascii="Cambria" w:hAnsi="Cambria"/>
          <w:noProof w:val="0"/>
          <w:szCs w:val="24"/>
        </w:rPr>
        <w:t> » mène depuis de nombreuses années des actions en faveur de la culture et de l’environnement. A ce titre, elle a lié et entretenu des contacts forts et permanents avec des associations de toute la Polynésie et aussi, de tout le triangle polynésien.</w:t>
      </w:r>
    </w:p>
    <w:p w14:paraId="64AC98A5" w14:textId="77777777" w:rsidR="002D308A" w:rsidRPr="00A56D78" w:rsidRDefault="002D308A" w:rsidP="002D308A">
      <w:pPr>
        <w:pStyle w:val="-LettreTexteGEDA"/>
        <w:spacing w:before="0"/>
        <w:ind w:firstLine="0"/>
        <w:rPr>
          <w:rFonts w:ascii="Cambria" w:hAnsi="Cambria"/>
          <w:noProof w:val="0"/>
          <w:szCs w:val="24"/>
        </w:rPr>
      </w:pPr>
    </w:p>
    <w:p w14:paraId="4C68CE67" w14:textId="77777777" w:rsidR="002D308A" w:rsidRPr="00A56D78" w:rsidRDefault="002D308A" w:rsidP="002D308A">
      <w:pPr>
        <w:pStyle w:val="-LettreTexteGEDA"/>
        <w:spacing w:before="0"/>
        <w:ind w:firstLine="0"/>
        <w:rPr>
          <w:rFonts w:ascii="Cambria" w:hAnsi="Cambria"/>
          <w:noProof w:val="0"/>
          <w:szCs w:val="24"/>
        </w:rPr>
      </w:pPr>
      <w:r w:rsidRPr="00A56D78">
        <w:rPr>
          <w:rFonts w:ascii="Cambria" w:hAnsi="Cambria"/>
          <w:noProof w:val="0"/>
          <w:szCs w:val="24"/>
        </w:rPr>
        <w:lastRenderedPageBreak/>
        <w:t xml:space="preserve">Elle accueille et propose chaque année des manifestations culturelles dont certaines connaissent aujourd’hui une notoriété largement reconnue dans le monde de la culture polynésienne. Elle anime par ailleurs des séminaires sur divers thèmes tels que la culture, l’astronomie, l’environnement, et reçoit des établissements scolaires pour des ateliers patrimoniaux. </w:t>
      </w:r>
    </w:p>
    <w:p w14:paraId="6BC324CD" w14:textId="77777777" w:rsidR="002D308A" w:rsidRPr="00A56D78" w:rsidRDefault="002D308A" w:rsidP="002D308A">
      <w:pPr>
        <w:pStyle w:val="-LettreTexteGEDA"/>
        <w:spacing w:before="0"/>
        <w:ind w:firstLine="0"/>
        <w:rPr>
          <w:rFonts w:ascii="Cambria" w:hAnsi="Cambria"/>
          <w:noProof w:val="0"/>
          <w:szCs w:val="24"/>
        </w:rPr>
      </w:pPr>
    </w:p>
    <w:p w14:paraId="3867AF14" w14:textId="77777777" w:rsidR="002D308A" w:rsidRPr="00A56D78" w:rsidRDefault="002D308A" w:rsidP="002D308A">
      <w:pPr>
        <w:pStyle w:val="-LettreTexteGEDA"/>
        <w:spacing w:before="0"/>
        <w:ind w:firstLine="0"/>
        <w:rPr>
          <w:rFonts w:ascii="Cambria" w:hAnsi="Cambria"/>
          <w:noProof w:val="0"/>
          <w:szCs w:val="24"/>
        </w:rPr>
      </w:pPr>
      <w:r w:rsidRPr="00A56D78">
        <w:rPr>
          <w:rFonts w:ascii="Cambria" w:hAnsi="Cambria"/>
          <w:noProof w:val="0"/>
          <w:szCs w:val="24"/>
        </w:rPr>
        <w:t xml:space="preserve">Pour atteindre ses objectifs et continuer à accueillir les publics intéressés au sein de la vallée de la </w:t>
      </w:r>
      <w:proofErr w:type="spellStart"/>
      <w:r w:rsidRPr="00A56D78">
        <w:rPr>
          <w:rFonts w:ascii="Cambria" w:hAnsi="Cambria"/>
          <w:noProof w:val="0"/>
          <w:szCs w:val="24"/>
        </w:rPr>
        <w:t>Papenoo</w:t>
      </w:r>
      <w:proofErr w:type="spellEnd"/>
      <w:r w:rsidRPr="00A56D78">
        <w:rPr>
          <w:rFonts w:ascii="Cambria" w:hAnsi="Cambria"/>
          <w:noProof w:val="0"/>
          <w:szCs w:val="24"/>
        </w:rPr>
        <w:t xml:space="preserve">, l’association doit assurer régulièrement l’entretien des sites culturels dont elle a la charge et maintenir ses infrastructures d’accueil et d’hébergement en bon état. </w:t>
      </w:r>
    </w:p>
    <w:p w14:paraId="7CB46D9A" w14:textId="77777777" w:rsidR="002D308A" w:rsidRPr="00A56D78" w:rsidRDefault="002D308A" w:rsidP="002D308A">
      <w:pPr>
        <w:pStyle w:val="-LettreTexteGEDA"/>
        <w:spacing w:before="0"/>
        <w:ind w:firstLine="0"/>
        <w:rPr>
          <w:rFonts w:ascii="Cambria" w:hAnsi="Cambria"/>
          <w:noProof w:val="0"/>
          <w:szCs w:val="24"/>
        </w:rPr>
      </w:pPr>
    </w:p>
    <w:p w14:paraId="30DD96E5" w14:textId="77777777" w:rsidR="002D308A" w:rsidRPr="00A56D78" w:rsidRDefault="002D308A" w:rsidP="002D308A">
      <w:pPr>
        <w:pStyle w:val="-LettreTexteGEDA"/>
        <w:spacing w:before="0"/>
        <w:ind w:firstLine="0"/>
        <w:rPr>
          <w:rFonts w:ascii="Cambria" w:hAnsi="Cambria"/>
          <w:color w:val="000000"/>
          <w:szCs w:val="24"/>
        </w:rPr>
      </w:pPr>
      <w:r w:rsidRPr="00A56D78">
        <w:rPr>
          <w:rFonts w:ascii="Cambria" w:hAnsi="Cambria"/>
          <w:szCs w:val="24"/>
        </w:rPr>
        <w:t>L’association avait bénéficié en 2015 d’un soutient du Pays pour l’entretien des sites archéologiques et la poursuite de ses activités. Afin de soutenir ce projet d’intérêt culturel et patrimonial, il a été décidé, pour l’exercice 2016, d’octroyer à l’association « </w:t>
      </w:r>
      <w:r w:rsidRPr="00A56D78">
        <w:rPr>
          <w:rFonts w:ascii="Cambria" w:hAnsi="Cambria"/>
          <w:noProof w:val="0"/>
          <w:szCs w:val="24"/>
        </w:rPr>
        <w:t xml:space="preserve">Protection, aménagement et développement - </w:t>
      </w:r>
      <w:proofErr w:type="spellStart"/>
      <w:r w:rsidRPr="00A56D78">
        <w:rPr>
          <w:rFonts w:ascii="Cambria" w:hAnsi="Cambria"/>
          <w:noProof w:val="0"/>
          <w:szCs w:val="24"/>
        </w:rPr>
        <w:t>Haururu</w:t>
      </w:r>
      <w:proofErr w:type="spellEnd"/>
      <w:r w:rsidRPr="00A56D78">
        <w:rPr>
          <w:rFonts w:ascii="Cambria" w:hAnsi="Cambria"/>
          <w:noProof w:val="0"/>
          <w:szCs w:val="24"/>
        </w:rPr>
        <w:t> </w:t>
      </w:r>
      <w:r w:rsidRPr="00A56D78">
        <w:rPr>
          <w:rFonts w:ascii="Cambria" w:hAnsi="Cambria"/>
          <w:szCs w:val="24"/>
        </w:rPr>
        <w:t>» une subvention d’un montant de 2 millions Fcfp.</w:t>
      </w:r>
    </w:p>
    <w:p w14:paraId="14A30553" w14:textId="77777777" w:rsidR="002D308A" w:rsidRPr="00A56D78" w:rsidRDefault="002D308A" w:rsidP="002D308A">
      <w:pPr>
        <w:rPr>
          <w:rFonts w:ascii="Cambria" w:hAnsi="Cambria"/>
        </w:rPr>
      </w:pPr>
    </w:p>
    <w:p w14:paraId="1EA3BB4D" w14:textId="77777777" w:rsidR="00276450" w:rsidRDefault="00276450" w:rsidP="002D308A">
      <w:pPr>
        <w:rPr>
          <w:rFonts w:ascii="Cambria" w:hAnsi="Cambria"/>
        </w:rPr>
      </w:pPr>
    </w:p>
    <w:p w14:paraId="0A5538F7" w14:textId="77777777" w:rsidR="00276450" w:rsidRPr="00A56D78" w:rsidRDefault="00276450" w:rsidP="002D308A">
      <w:pPr>
        <w:rPr>
          <w:rFonts w:ascii="Cambria" w:hAnsi="Cambria"/>
        </w:rPr>
      </w:pPr>
    </w:p>
    <w:p w14:paraId="5974B052" w14:textId="77777777" w:rsidR="002D308A" w:rsidRPr="00A56D78" w:rsidRDefault="002D308A" w:rsidP="002D308A">
      <w:pPr>
        <w:pStyle w:val="Sansinterligne"/>
        <w:jc w:val="both"/>
        <w:rPr>
          <w:rFonts w:ascii="Cambria" w:hAnsi="Cambria"/>
          <w:b/>
          <w:sz w:val="24"/>
          <w:szCs w:val="24"/>
          <w:lang w:eastAsia="fr-FR"/>
        </w:rPr>
      </w:pPr>
      <w:r w:rsidRPr="00A56D78">
        <w:rPr>
          <w:rFonts w:ascii="Cambria" w:hAnsi="Cambria"/>
          <w:b/>
          <w:sz w:val="24"/>
          <w:szCs w:val="24"/>
        </w:rPr>
        <w:t>Soutien à la Société d’études océaniennes</w:t>
      </w:r>
    </w:p>
    <w:p w14:paraId="6C9D2370" w14:textId="77777777" w:rsidR="002D308A" w:rsidRPr="00A56D78" w:rsidRDefault="002D308A" w:rsidP="002D308A">
      <w:pPr>
        <w:pStyle w:val="-LettreSuiteORefPJGEDA"/>
        <w:ind w:left="0"/>
        <w:rPr>
          <w:rFonts w:ascii="Cambria" w:hAnsi="Cambria"/>
          <w:szCs w:val="24"/>
        </w:rPr>
      </w:pPr>
    </w:p>
    <w:p w14:paraId="63655DDF" w14:textId="77777777" w:rsidR="002D308A" w:rsidRPr="00A56D78" w:rsidRDefault="002D308A" w:rsidP="002D308A">
      <w:pPr>
        <w:pStyle w:val="-LettreTexteGEDA"/>
        <w:spacing w:before="0"/>
        <w:ind w:firstLine="0"/>
        <w:rPr>
          <w:rFonts w:ascii="Cambria" w:hAnsi="Cambria"/>
          <w:szCs w:val="24"/>
        </w:rPr>
      </w:pPr>
      <w:r w:rsidRPr="00A56D78">
        <w:rPr>
          <w:rFonts w:ascii="Cambria" w:hAnsi="Cambria"/>
          <w:szCs w:val="24"/>
        </w:rPr>
        <w:t xml:space="preserve">Dès sa création, la </w:t>
      </w:r>
      <w:r w:rsidRPr="00A56D78">
        <w:rPr>
          <w:rFonts w:ascii="Cambria" w:hAnsi="Cambria"/>
          <w:noProof w:val="0"/>
          <w:szCs w:val="24"/>
        </w:rPr>
        <w:t xml:space="preserve"> Société d’études océaniennes - </w:t>
      </w:r>
      <w:r w:rsidRPr="00A56D78">
        <w:rPr>
          <w:rFonts w:ascii="Cambria" w:hAnsi="Cambria"/>
          <w:szCs w:val="24"/>
        </w:rPr>
        <w:t xml:space="preserve">SEO s’est dotée d’une bibliothèque spécialisée qui compte aujourd’hui plus de 10 000 ouvrages, incluant journaux et périodiques, dont un certain nombre sont inestimables. Conformément à son objet social, l’association assure aussi l'édition et la publication à Tahiti du bulletin de la société des études océaniennes (BSEO), dont </w:t>
      </w:r>
      <w:r w:rsidRPr="00A56D78">
        <w:rPr>
          <w:rFonts w:ascii="Cambria" w:hAnsi="Cambria"/>
          <w:noProof w:val="0"/>
          <w:szCs w:val="24"/>
        </w:rPr>
        <w:t>le 337</w:t>
      </w:r>
      <w:r w:rsidRPr="00A56D78">
        <w:rPr>
          <w:rFonts w:ascii="Cambria" w:hAnsi="Cambria"/>
          <w:noProof w:val="0"/>
          <w:szCs w:val="24"/>
          <w:vertAlign w:val="superscript"/>
        </w:rPr>
        <w:t>ème</w:t>
      </w:r>
      <w:r w:rsidRPr="00A56D78">
        <w:rPr>
          <w:rFonts w:ascii="Cambria" w:hAnsi="Cambria"/>
          <w:noProof w:val="0"/>
          <w:szCs w:val="24"/>
        </w:rPr>
        <w:t xml:space="preserve"> numéro est paru en juillet 2016. A ce jour, avec la collaboration du S</w:t>
      </w:r>
      <w:r w:rsidRPr="00A56D78">
        <w:rPr>
          <w:rFonts w:ascii="Cambria" w:hAnsi="Cambria"/>
          <w:szCs w:val="24"/>
        </w:rPr>
        <w:t>ervice du Patrimoine archivistique et audiovisuel de la Polynésie française, 200 numéros du BSEO ont été scannés afin de faciliter leur conservation et leur diffusion via les réseaux numériques.</w:t>
      </w:r>
    </w:p>
    <w:p w14:paraId="42CF1A4A" w14:textId="77777777" w:rsidR="002D308A" w:rsidRPr="00A56D78" w:rsidRDefault="002D308A" w:rsidP="002D308A">
      <w:pPr>
        <w:pStyle w:val="-LettreTexteGEDA"/>
        <w:spacing w:before="0"/>
        <w:ind w:firstLine="0"/>
        <w:rPr>
          <w:rFonts w:ascii="Cambria" w:hAnsi="Cambria"/>
          <w:szCs w:val="24"/>
        </w:rPr>
      </w:pPr>
    </w:p>
    <w:p w14:paraId="1E306067" w14:textId="77777777" w:rsidR="002D308A" w:rsidRPr="00A56D78" w:rsidRDefault="002D308A" w:rsidP="002D308A">
      <w:pPr>
        <w:pStyle w:val="-LettreTexteGEDA"/>
        <w:spacing w:before="0"/>
        <w:ind w:firstLine="0"/>
        <w:rPr>
          <w:rFonts w:ascii="Cambria" w:hAnsi="Cambria"/>
          <w:szCs w:val="24"/>
        </w:rPr>
      </w:pPr>
      <w:r w:rsidRPr="00A56D78">
        <w:rPr>
          <w:rFonts w:ascii="Cambria" w:hAnsi="Cambria"/>
          <w:szCs w:val="24"/>
        </w:rPr>
        <w:t xml:space="preserve">L’année dernière, l’association a publié trois bulletins : </w:t>
      </w:r>
    </w:p>
    <w:p w14:paraId="40EF08E3" w14:textId="77777777" w:rsidR="002D308A" w:rsidRPr="00A56D78" w:rsidRDefault="002D308A" w:rsidP="002D308A">
      <w:pPr>
        <w:pStyle w:val="-LettreTexteGEDA"/>
        <w:spacing w:before="0"/>
        <w:ind w:firstLine="0"/>
        <w:rPr>
          <w:rFonts w:ascii="Cambria" w:hAnsi="Cambria"/>
          <w:szCs w:val="24"/>
        </w:rPr>
      </w:pPr>
    </w:p>
    <w:p w14:paraId="2D34D285" w14:textId="77777777" w:rsidR="002D308A" w:rsidRPr="00A56D78" w:rsidRDefault="002D308A" w:rsidP="002D308A">
      <w:pPr>
        <w:pStyle w:val="-LettreTexteGEDA"/>
        <w:numPr>
          <w:ilvl w:val="0"/>
          <w:numId w:val="40"/>
        </w:numPr>
        <w:spacing w:before="0"/>
        <w:rPr>
          <w:rFonts w:ascii="Cambria" w:hAnsi="Cambria"/>
          <w:szCs w:val="24"/>
        </w:rPr>
      </w:pPr>
      <w:r w:rsidRPr="00A56D78">
        <w:rPr>
          <w:rFonts w:ascii="Cambria" w:hAnsi="Cambria"/>
          <w:szCs w:val="24"/>
        </w:rPr>
        <w:t xml:space="preserve">le BSEO n° 334 contenant 5 articles et dont un hommage à Jean Louis Candelot, membre du SEO et fervent défenseur du renouveau de la culture marquisienne ; </w:t>
      </w:r>
    </w:p>
    <w:p w14:paraId="5E7CFAED" w14:textId="77777777" w:rsidR="002D308A" w:rsidRPr="00A56D78" w:rsidRDefault="002D308A" w:rsidP="002D308A">
      <w:pPr>
        <w:pStyle w:val="-LettreTexteGEDA"/>
        <w:numPr>
          <w:ilvl w:val="0"/>
          <w:numId w:val="40"/>
        </w:numPr>
        <w:spacing w:before="0"/>
        <w:rPr>
          <w:rFonts w:ascii="Cambria" w:hAnsi="Cambria"/>
          <w:szCs w:val="24"/>
        </w:rPr>
      </w:pPr>
      <w:r w:rsidRPr="00A56D78">
        <w:rPr>
          <w:rFonts w:ascii="Cambria" w:hAnsi="Cambria"/>
          <w:szCs w:val="24"/>
        </w:rPr>
        <w:t>le BSEO n° 335 consacré au chemin de fer en Polynésie française ;</w:t>
      </w:r>
    </w:p>
    <w:p w14:paraId="7BB3424A" w14:textId="77777777" w:rsidR="002D308A" w:rsidRPr="00A56D78" w:rsidRDefault="002D308A" w:rsidP="002D308A">
      <w:pPr>
        <w:pStyle w:val="-LettreTexteGEDA"/>
        <w:numPr>
          <w:ilvl w:val="0"/>
          <w:numId w:val="40"/>
        </w:numPr>
        <w:spacing w:before="0"/>
        <w:rPr>
          <w:rFonts w:ascii="Cambria" w:hAnsi="Cambria"/>
          <w:szCs w:val="24"/>
        </w:rPr>
      </w:pPr>
      <w:r w:rsidRPr="00A56D78">
        <w:rPr>
          <w:rFonts w:ascii="Cambria" w:hAnsi="Cambria"/>
          <w:szCs w:val="24"/>
        </w:rPr>
        <w:t>et le BSEO n° 336 qui comprend cinq articles d’auteurs chercheurs reconnus.</w:t>
      </w:r>
    </w:p>
    <w:p w14:paraId="27031C2D" w14:textId="77777777" w:rsidR="002D308A" w:rsidRPr="00A56D78" w:rsidRDefault="002D308A" w:rsidP="002D308A">
      <w:pPr>
        <w:pStyle w:val="-LettreTexteGEDA"/>
        <w:spacing w:before="0"/>
        <w:ind w:firstLine="0"/>
        <w:rPr>
          <w:rFonts w:ascii="Cambria" w:hAnsi="Cambria"/>
          <w:szCs w:val="24"/>
        </w:rPr>
      </w:pPr>
    </w:p>
    <w:p w14:paraId="3D5CB799" w14:textId="77777777" w:rsidR="002D308A" w:rsidRPr="00A56D78" w:rsidRDefault="002D308A" w:rsidP="002D308A">
      <w:pPr>
        <w:pStyle w:val="-LettreTexteGEDA"/>
        <w:tabs>
          <w:tab w:val="left" w:pos="2025"/>
        </w:tabs>
        <w:spacing w:before="0"/>
        <w:ind w:firstLine="0"/>
        <w:rPr>
          <w:rFonts w:ascii="Cambria" w:hAnsi="Cambria"/>
          <w:noProof w:val="0"/>
          <w:szCs w:val="24"/>
        </w:rPr>
      </w:pPr>
      <w:r w:rsidRPr="00A56D78">
        <w:rPr>
          <w:rFonts w:ascii="Cambria" w:hAnsi="Cambria"/>
          <w:noProof w:val="0"/>
          <w:szCs w:val="24"/>
        </w:rPr>
        <w:t xml:space="preserve">Cette année, en plus de la publication habituelle de ses BSEO, la SEO envisage de rééditer divers ouvrages épuisés et très demandés par le public, et de participer aux divers salons du livre organisés en Polynésie. Afin de soutenir l’activité de l’association, </w:t>
      </w:r>
      <w:r w:rsidRPr="00A56D78">
        <w:rPr>
          <w:rFonts w:ascii="Cambria" w:hAnsi="Cambria"/>
          <w:iCs/>
          <w:szCs w:val="24"/>
        </w:rPr>
        <w:t xml:space="preserve">le </w:t>
      </w:r>
      <w:r w:rsidRPr="00A56D78">
        <w:rPr>
          <w:rFonts w:ascii="Cambria" w:hAnsi="Cambria"/>
          <w:szCs w:val="24"/>
        </w:rPr>
        <w:t>comité d’attribution des subventions en matière de culture et de patrimoine de la Polynésie française propose l’octroi d’une subvention d’un montant de deux millions Fcfp en faveur de l’association « Société d’études océaniennes - SEO ».</w:t>
      </w:r>
    </w:p>
    <w:p w14:paraId="28FC4CD6" w14:textId="77777777" w:rsidR="002D308A" w:rsidRPr="00A56D78" w:rsidRDefault="002D308A" w:rsidP="002D308A">
      <w:pPr>
        <w:jc w:val="both"/>
        <w:rPr>
          <w:rFonts w:ascii="Cambria" w:hAnsi="Cambria"/>
          <w:b/>
          <w:bCs/>
          <w:iCs/>
        </w:rPr>
      </w:pPr>
    </w:p>
    <w:p w14:paraId="721C88ED" w14:textId="77777777" w:rsidR="002D308A" w:rsidRDefault="002D308A" w:rsidP="002D308A">
      <w:pPr>
        <w:jc w:val="both"/>
        <w:rPr>
          <w:rFonts w:ascii="Cambria" w:hAnsi="Cambria"/>
          <w:b/>
          <w:bCs/>
          <w:iCs/>
        </w:rPr>
      </w:pPr>
    </w:p>
    <w:p w14:paraId="5E3819A1" w14:textId="77777777" w:rsidR="000D6D1C" w:rsidRDefault="000D6D1C" w:rsidP="002D308A">
      <w:pPr>
        <w:jc w:val="both"/>
        <w:rPr>
          <w:rFonts w:ascii="Cambria" w:hAnsi="Cambria"/>
          <w:b/>
          <w:bCs/>
          <w:iCs/>
        </w:rPr>
      </w:pPr>
    </w:p>
    <w:p w14:paraId="293C0E5B" w14:textId="77777777" w:rsidR="000D6D1C" w:rsidRDefault="000D6D1C" w:rsidP="002D308A">
      <w:pPr>
        <w:jc w:val="both"/>
        <w:rPr>
          <w:rFonts w:ascii="Cambria" w:hAnsi="Cambria"/>
          <w:b/>
          <w:bCs/>
          <w:iCs/>
        </w:rPr>
      </w:pPr>
    </w:p>
    <w:p w14:paraId="7FFF7CDD" w14:textId="77777777" w:rsidR="000D6D1C" w:rsidRPr="00A56D78" w:rsidRDefault="000D6D1C" w:rsidP="002D308A">
      <w:pPr>
        <w:jc w:val="both"/>
        <w:rPr>
          <w:rFonts w:ascii="Cambria" w:hAnsi="Cambria"/>
          <w:b/>
          <w:bCs/>
          <w:iCs/>
        </w:rPr>
      </w:pPr>
    </w:p>
    <w:p w14:paraId="4BBDEE79" w14:textId="77777777" w:rsidR="002D308A" w:rsidRPr="00A56D78" w:rsidRDefault="002D308A" w:rsidP="002D308A">
      <w:pPr>
        <w:pStyle w:val="-LettreObjetGEDA"/>
        <w:tabs>
          <w:tab w:val="left" w:pos="709"/>
        </w:tabs>
        <w:spacing w:before="0"/>
        <w:rPr>
          <w:rFonts w:ascii="Cambria" w:hAnsi="Cambria"/>
          <w:b/>
          <w:noProof w:val="0"/>
          <w:szCs w:val="24"/>
        </w:rPr>
      </w:pPr>
      <w:r w:rsidRPr="00A56D78">
        <w:rPr>
          <w:rFonts w:ascii="Cambria" w:hAnsi="Cambria"/>
          <w:b/>
          <w:szCs w:val="24"/>
        </w:rPr>
        <w:lastRenderedPageBreak/>
        <w:t>Rapport d’activité et perspectives pour Tahiti Nui Télévision</w:t>
      </w:r>
    </w:p>
    <w:p w14:paraId="507273E5" w14:textId="77777777" w:rsidR="002D308A" w:rsidRPr="00A56D78" w:rsidRDefault="002D308A" w:rsidP="00A56D78">
      <w:pPr>
        <w:pStyle w:val="-LettreTexteGEDA"/>
        <w:spacing w:before="0"/>
        <w:ind w:firstLine="0"/>
        <w:rPr>
          <w:rFonts w:ascii="Cambria" w:hAnsi="Cambria"/>
          <w:noProof w:val="0"/>
          <w:szCs w:val="24"/>
          <w:highlight w:val="yellow"/>
        </w:rPr>
      </w:pPr>
    </w:p>
    <w:p w14:paraId="51D4ED29" w14:textId="77777777" w:rsidR="002D308A" w:rsidRPr="00A56D78" w:rsidRDefault="002D308A" w:rsidP="002D308A">
      <w:pPr>
        <w:pStyle w:val="-LettreTexteGEDA"/>
        <w:spacing w:before="0"/>
        <w:ind w:firstLine="0"/>
        <w:rPr>
          <w:rFonts w:ascii="Cambria" w:hAnsi="Cambria"/>
          <w:szCs w:val="24"/>
        </w:rPr>
      </w:pPr>
      <w:r w:rsidRPr="00A56D78">
        <w:rPr>
          <w:rFonts w:ascii="Cambria" w:hAnsi="Cambria"/>
          <w:szCs w:val="24"/>
        </w:rPr>
        <w:t>Le ministre en charge de la Communication, Heremoana Maamaatuaiahutapu, a présenté au Conseil des ministres le rapport d’activité Tahiti Nui Télévision pour l’exercice 2015.</w:t>
      </w:r>
    </w:p>
    <w:p w14:paraId="709B16FB" w14:textId="77777777" w:rsidR="002D308A" w:rsidRPr="00A56D78" w:rsidRDefault="002D308A" w:rsidP="002D308A">
      <w:pPr>
        <w:pStyle w:val="-LettreTexteGEDA"/>
        <w:spacing w:before="0"/>
        <w:ind w:firstLine="0"/>
        <w:rPr>
          <w:rFonts w:ascii="Cambria" w:hAnsi="Cambria"/>
          <w:szCs w:val="24"/>
        </w:rPr>
      </w:pPr>
      <w:r w:rsidRPr="00A56D78">
        <w:rPr>
          <w:rFonts w:ascii="Cambria" w:hAnsi="Cambria"/>
          <w:szCs w:val="24"/>
        </w:rPr>
        <w:t xml:space="preserve">La chaine a conforté sa situation financière ainsi que les orientations stratégiques définies par son conseil d’administration pour le développement de son activité. </w:t>
      </w:r>
      <w:r w:rsidRPr="00A56D78">
        <w:rPr>
          <w:rFonts w:ascii="Cambria" w:eastAsia="Calibri" w:hAnsi="Cambria"/>
          <w:bCs/>
          <w:noProof w:val="0"/>
          <w:szCs w:val="24"/>
        </w:rPr>
        <w:t xml:space="preserve">Une redéfinition des orientations stratégiques a été opérée depuis la nomination du conseil d’administration avec une tenue régulière des conseils d’administration et d’orientation et la mise en avant des missions premières de la chaine du Pays : proximité et promotion de la culture locale. </w:t>
      </w:r>
    </w:p>
    <w:p w14:paraId="08CD9A44" w14:textId="77777777" w:rsidR="002D308A" w:rsidRPr="00A56D78" w:rsidRDefault="002D308A" w:rsidP="002D308A">
      <w:pPr>
        <w:pStyle w:val="Sansinterligne"/>
        <w:jc w:val="both"/>
        <w:rPr>
          <w:rFonts w:ascii="Cambria" w:hAnsi="Cambria"/>
          <w:sz w:val="24"/>
          <w:szCs w:val="24"/>
        </w:rPr>
      </w:pPr>
    </w:p>
    <w:p w14:paraId="52A3D893" w14:textId="77777777" w:rsidR="002D308A" w:rsidRPr="00A56D78" w:rsidRDefault="002D308A" w:rsidP="002D308A">
      <w:pPr>
        <w:pStyle w:val="Sansinterligne"/>
        <w:jc w:val="both"/>
        <w:rPr>
          <w:rFonts w:ascii="Cambria" w:hAnsi="Cambria"/>
          <w:sz w:val="24"/>
          <w:szCs w:val="24"/>
        </w:rPr>
      </w:pPr>
      <w:r w:rsidRPr="00A56D78">
        <w:rPr>
          <w:rFonts w:ascii="Cambria" w:hAnsi="Cambria"/>
          <w:sz w:val="24"/>
          <w:szCs w:val="24"/>
        </w:rPr>
        <w:t xml:space="preserve">C’est sur la culture polynésienne qu’a été dirigé l’effort à travers de nouvelles émissions et de nombreuses captations. L’antenne 2015 a proposé une offre composée de contenus médiatiques informatifs, culturels, éducatifs, de divertissement de qualité, attractifs et accessibles </w:t>
      </w:r>
      <w:proofErr w:type="spellStart"/>
      <w:r w:rsidRPr="00A56D78">
        <w:rPr>
          <w:rFonts w:ascii="Cambria" w:hAnsi="Cambria"/>
          <w:sz w:val="24"/>
          <w:szCs w:val="24"/>
        </w:rPr>
        <w:t>a</w:t>
      </w:r>
      <w:proofErr w:type="spellEnd"/>
      <w:r w:rsidRPr="00A56D78">
        <w:rPr>
          <w:rFonts w:ascii="Cambria" w:hAnsi="Cambria"/>
          <w:sz w:val="24"/>
          <w:szCs w:val="24"/>
        </w:rPr>
        <w:t>̀ tous à travers des achats de programmes locaux auprès des meilleurs producteurs de la place. Le budget consacré à la production locale a été réévalué significativement grâce aux économies dégagées ces 3 dernières années et TNTV contribue pleinement au développement de la filière audiovisuelle.</w:t>
      </w:r>
    </w:p>
    <w:p w14:paraId="72B8703E" w14:textId="77777777" w:rsidR="002D308A" w:rsidRPr="00A56D78" w:rsidRDefault="002D308A" w:rsidP="002D308A">
      <w:pPr>
        <w:pStyle w:val="Sansinterligne"/>
        <w:jc w:val="both"/>
        <w:rPr>
          <w:rFonts w:ascii="Cambria" w:hAnsi="Cambria"/>
          <w:sz w:val="24"/>
          <w:szCs w:val="24"/>
        </w:rPr>
      </w:pPr>
    </w:p>
    <w:p w14:paraId="28B6E97E" w14:textId="67812E8E" w:rsidR="002D308A" w:rsidRPr="00A56D78" w:rsidRDefault="002D308A" w:rsidP="002D308A">
      <w:pPr>
        <w:pStyle w:val="Sansinterligne"/>
        <w:jc w:val="both"/>
        <w:rPr>
          <w:rFonts w:ascii="Cambria" w:hAnsi="Cambria"/>
          <w:sz w:val="24"/>
          <w:szCs w:val="24"/>
        </w:rPr>
      </w:pPr>
      <w:r w:rsidRPr="00A56D78">
        <w:rPr>
          <w:rFonts w:ascii="Cambria" w:hAnsi="Cambria"/>
          <w:sz w:val="24"/>
          <w:szCs w:val="24"/>
        </w:rPr>
        <w:t>Un sondage sur la notoriété et l’image de la chaîne, en mars 2015, permettant de mesurer la satisfaction du téléspectateur et d’identifier ses comportements, positionne TNTV comme la chaîne préférée pour 41% des Polynésiens (31% pour Polynésie 1ère). Le sondage quantitatif, réalisé par Médiamétrie (avril 2016), place TNTV au deuxième rang des télévisions en canal ouvert. Un résultat en progression, tandis que Polynésie 1</w:t>
      </w:r>
      <w:r w:rsidRPr="00A56D78">
        <w:rPr>
          <w:rFonts w:ascii="Cambria" w:hAnsi="Cambria"/>
          <w:sz w:val="24"/>
          <w:szCs w:val="24"/>
          <w:vertAlign w:val="superscript"/>
        </w:rPr>
        <w:t>ère</w:t>
      </w:r>
      <w:r w:rsidRPr="00A56D78">
        <w:rPr>
          <w:rFonts w:ascii="Cambria" w:hAnsi="Cambria"/>
          <w:sz w:val="24"/>
          <w:szCs w:val="24"/>
        </w:rPr>
        <w:t xml:space="preserve"> est en repli</w:t>
      </w:r>
      <w:r w:rsidR="00A56D78">
        <w:rPr>
          <w:rFonts w:ascii="Cambria" w:hAnsi="Cambria"/>
          <w:sz w:val="24"/>
          <w:szCs w:val="24"/>
        </w:rPr>
        <w:t>.</w:t>
      </w:r>
    </w:p>
    <w:p w14:paraId="0C286111" w14:textId="77777777" w:rsidR="002D308A" w:rsidRPr="00A56D78" w:rsidRDefault="002D308A" w:rsidP="002D308A">
      <w:pPr>
        <w:pStyle w:val="Sansinterligne"/>
        <w:jc w:val="both"/>
        <w:rPr>
          <w:rFonts w:ascii="Cambria" w:hAnsi="Cambria"/>
          <w:sz w:val="24"/>
          <w:szCs w:val="24"/>
        </w:rPr>
      </w:pPr>
    </w:p>
    <w:p w14:paraId="042077EF" w14:textId="77777777" w:rsidR="002D308A" w:rsidRPr="00A56D78" w:rsidRDefault="002D308A" w:rsidP="002D308A">
      <w:pPr>
        <w:pStyle w:val="Sansinterligne"/>
        <w:jc w:val="both"/>
        <w:rPr>
          <w:rFonts w:ascii="Cambria" w:hAnsi="Cambria"/>
          <w:sz w:val="24"/>
          <w:szCs w:val="24"/>
        </w:rPr>
      </w:pPr>
      <w:r w:rsidRPr="00A56D78">
        <w:rPr>
          <w:rFonts w:ascii="Cambria" w:hAnsi="Cambria"/>
          <w:sz w:val="24"/>
          <w:szCs w:val="24"/>
        </w:rPr>
        <w:t>Le déploiement de la stratégie numérique, par le biais de nouvelles plateformes, a également été l’un des axes majeurs, d’autant que le taux de pénétration du numérique est en progression en Polynésie française.  Enfin, au 1er janvier 2015, TNTV a mis en place sa nouvelle régie publicitaire et propose ainsi une alternative sérieuse à France Télévisions publicité outremer mais également aux autres médias (radio, presse, affichage). Pour l’année à venir, TNTV s’attachera à poursuivre ces efforts notamment en matière de développement numérique, tout en réorganisant la rédaction afin de proposer aux téléspectateurs un journal télévisé optimal. Une réflexion sur l’amélioration de l’acheminement des programmes étrangers sera également entamée.</w:t>
      </w:r>
    </w:p>
    <w:p w14:paraId="445ABFA3" w14:textId="77777777" w:rsidR="00232248" w:rsidRPr="0087175A" w:rsidRDefault="00232248" w:rsidP="00744719">
      <w:pPr>
        <w:jc w:val="both"/>
        <w:rPr>
          <w:rFonts w:ascii="Cambria" w:hAnsi="Cambria"/>
        </w:rPr>
      </w:pPr>
    </w:p>
    <w:p w14:paraId="67A9A00F" w14:textId="77777777" w:rsidR="0087175A" w:rsidRDefault="0087175A" w:rsidP="00744719">
      <w:pPr>
        <w:jc w:val="both"/>
        <w:rPr>
          <w:rFonts w:ascii="Cambria" w:hAnsi="Cambria"/>
        </w:rPr>
      </w:pPr>
    </w:p>
    <w:p w14:paraId="027713DB" w14:textId="77777777" w:rsidR="00276450" w:rsidRPr="0087175A" w:rsidRDefault="00276450" w:rsidP="00744719">
      <w:pPr>
        <w:jc w:val="both"/>
        <w:rPr>
          <w:rFonts w:ascii="Cambria" w:hAnsi="Cambria"/>
        </w:rPr>
      </w:pPr>
    </w:p>
    <w:p w14:paraId="0088C486" w14:textId="0F2B2160" w:rsidR="00B94CD0" w:rsidRPr="00DB6304" w:rsidRDefault="00B94CD0" w:rsidP="003F2C9A">
      <w:pPr>
        <w:jc w:val="center"/>
        <w:rPr>
          <w:rFonts w:ascii="Cambria" w:hAnsi="Cambria"/>
        </w:rPr>
      </w:pPr>
      <w:r w:rsidRPr="00DB6304">
        <w:rPr>
          <w:rFonts w:ascii="Cambria" w:hAnsi="Cambria" w:cs="Century Schoolbook"/>
        </w:rPr>
        <w:t>-o-o-o-o-o-</w:t>
      </w:r>
    </w:p>
    <w:sectPr w:rsidR="00B94CD0" w:rsidRPr="00DB6304">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5A928" w14:textId="77777777" w:rsidR="00795EB1" w:rsidRDefault="00795EB1" w:rsidP="00206CF6">
      <w:r>
        <w:separator/>
      </w:r>
    </w:p>
  </w:endnote>
  <w:endnote w:type="continuationSeparator" w:id="0">
    <w:p w14:paraId="67AC0797" w14:textId="77777777" w:rsidR="00795EB1" w:rsidRDefault="00795EB1"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795EB1">
    <w:pPr>
      <w:pStyle w:val="Pieddepage"/>
    </w:pPr>
    <w:sdt>
      <w:sdtPr>
        <w:id w:val="969400743"/>
        <w:placeholder>
          <w:docPart w:val="887EC53542B33B41BF5F8BE63FFF00E9"/>
        </w:placeholder>
        <w:temporary/>
        <w:showingPlcHdr/>
      </w:sdtPr>
      <w:sdtEndPr/>
      <w:sdtContent>
        <w:r w:rsidR="00FE5974">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rPr>
    </w:pPr>
    <w:r w:rsidRPr="00BA209E">
      <w:rPr>
        <w:i/>
        <w:sz w:val="20"/>
        <w:szCs w:val="20"/>
      </w:rPr>
      <w:t>Présidence de la Polynésie Française</w:t>
    </w:r>
  </w:p>
  <w:p w14:paraId="01AD2E4D" w14:textId="4767E118" w:rsidR="00BA209E" w:rsidRPr="00BA209E" w:rsidRDefault="00BA209E" w:rsidP="00BA209E">
    <w:pPr>
      <w:pStyle w:val="Pieddepage"/>
      <w:jc w:val="center"/>
      <w:rPr>
        <w:i/>
        <w:sz w:val="20"/>
        <w:szCs w:val="20"/>
      </w:rPr>
    </w:pPr>
    <w:r w:rsidRPr="00BA209E">
      <w:rPr>
        <w:i/>
        <w:sz w:val="20"/>
        <w:szCs w:val="20"/>
      </w:rPr>
      <w:t>Service Presse</w:t>
    </w:r>
  </w:p>
  <w:p w14:paraId="0B0E8744" w14:textId="72E9C28C" w:rsidR="00BA209E" w:rsidRPr="00BA209E" w:rsidRDefault="00795EB1" w:rsidP="00BA209E">
    <w:pPr>
      <w:pStyle w:val="Pieddepage"/>
      <w:jc w:val="center"/>
      <w:rPr>
        <w:sz w:val="20"/>
        <w:szCs w:val="20"/>
      </w:rPr>
    </w:pPr>
    <w:hyperlink r:id="rId1" w:history="1">
      <w:r w:rsidR="00BA209E" w:rsidRPr="00BA209E">
        <w:rPr>
          <w:rStyle w:val="Lienhypertexte"/>
          <w:sz w:val="20"/>
          <w:szCs w:val="20"/>
        </w:rPr>
        <w:t>presse@presidence.pf</w:t>
      </w:r>
    </w:hyperlink>
    <w:r w:rsidR="00BA209E" w:rsidRPr="00BA209E">
      <w:rPr>
        <w:sz w:val="20"/>
        <w:szCs w:val="20"/>
      </w:rPr>
      <w:t xml:space="preserve"> – </w:t>
    </w:r>
    <w:r w:rsidR="00B43BC6">
      <w:rPr>
        <w:sz w:val="20"/>
        <w:szCs w:val="20"/>
      </w:rPr>
      <w:t xml:space="preserve">40 </w:t>
    </w:r>
    <w:r w:rsidR="00BA209E" w:rsidRPr="00BA209E">
      <w:rPr>
        <w:sz w:val="20"/>
        <w:szCs w:val="20"/>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86A97" w14:textId="77777777" w:rsidR="00795EB1" w:rsidRDefault="00795EB1" w:rsidP="00206CF6">
      <w:r>
        <w:separator/>
      </w:r>
    </w:p>
  </w:footnote>
  <w:footnote w:type="continuationSeparator" w:id="0">
    <w:p w14:paraId="0E4ABE96" w14:textId="77777777" w:rsidR="00795EB1" w:rsidRDefault="00795EB1"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1990A10"/>
    <w:multiLevelType w:val="hybridMultilevel"/>
    <w:tmpl w:val="78FCDAB6"/>
    <w:lvl w:ilvl="0" w:tplc="040C0001">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3">
    <w:nsid w:val="05177265"/>
    <w:multiLevelType w:val="hybridMultilevel"/>
    <w:tmpl w:val="A5F29F64"/>
    <w:lvl w:ilvl="0" w:tplc="038C77C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5">
    <w:nsid w:val="13374D12"/>
    <w:multiLevelType w:val="hybridMultilevel"/>
    <w:tmpl w:val="F2C87530"/>
    <w:lvl w:ilvl="0" w:tplc="040C000F">
      <w:start w:val="1"/>
      <w:numFmt w:val="decimal"/>
      <w:lvlText w:val="%1."/>
      <w:lvlJc w:val="left"/>
      <w:pPr>
        <w:ind w:left="1571" w:hanging="360"/>
      </w:pPr>
    </w:lvl>
    <w:lvl w:ilvl="1" w:tplc="040C0019">
      <w:start w:val="1"/>
      <w:numFmt w:val="lowerLetter"/>
      <w:lvlText w:val="%2."/>
      <w:lvlJc w:val="left"/>
      <w:pPr>
        <w:ind w:left="2291" w:hanging="360"/>
      </w:pPr>
    </w:lvl>
    <w:lvl w:ilvl="2" w:tplc="040C001B">
      <w:start w:val="1"/>
      <w:numFmt w:val="lowerRoman"/>
      <w:lvlText w:val="%3."/>
      <w:lvlJc w:val="right"/>
      <w:pPr>
        <w:ind w:left="3011" w:hanging="180"/>
      </w:pPr>
    </w:lvl>
    <w:lvl w:ilvl="3" w:tplc="040C000F">
      <w:start w:val="1"/>
      <w:numFmt w:val="decimal"/>
      <w:lvlText w:val="%4."/>
      <w:lvlJc w:val="left"/>
      <w:pPr>
        <w:ind w:left="3731" w:hanging="360"/>
      </w:pPr>
    </w:lvl>
    <w:lvl w:ilvl="4" w:tplc="040C0019">
      <w:start w:val="1"/>
      <w:numFmt w:val="lowerLetter"/>
      <w:lvlText w:val="%5."/>
      <w:lvlJc w:val="left"/>
      <w:pPr>
        <w:ind w:left="4451" w:hanging="360"/>
      </w:pPr>
    </w:lvl>
    <w:lvl w:ilvl="5" w:tplc="040C001B">
      <w:start w:val="1"/>
      <w:numFmt w:val="lowerRoman"/>
      <w:lvlText w:val="%6."/>
      <w:lvlJc w:val="right"/>
      <w:pPr>
        <w:ind w:left="5171" w:hanging="180"/>
      </w:pPr>
    </w:lvl>
    <w:lvl w:ilvl="6" w:tplc="040C000F">
      <w:start w:val="1"/>
      <w:numFmt w:val="decimal"/>
      <w:lvlText w:val="%7."/>
      <w:lvlJc w:val="left"/>
      <w:pPr>
        <w:ind w:left="5891" w:hanging="360"/>
      </w:pPr>
    </w:lvl>
    <w:lvl w:ilvl="7" w:tplc="040C0019">
      <w:start w:val="1"/>
      <w:numFmt w:val="lowerLetter"/>
      <w:lvlText w:val="%8."/>
      <w:lvlJc w:val="left"/>
      <w:pPr>
        <w:ind w:left="6611" w:hanging="360"/>
      </w:pPr>
    </w:lvl>
    <w:lvl w:ilvl="8" w:tplc="040C001B">
      <w:start w:val="1"/>
      <w:numFmt w:val="lowerRoman"/>
      <w:lvlText w:val="%9."/>
      <w:lvlJc w:val="right"/>
      <w:pPr>
        <w:ind w:left="7331" w:hanging="180"/>
      </w:pPr>
    </w:lvl>
  </w:abstractNum>
  <w:abstractNum w:abstractNumId="6">
    <w:nsid w:val="15C569FB"/>
    <w:multiLevelType w:val="hybridMultilevel"/>
    <w:tmpl w:val="4FC8278E"/>
    <w:lvl w:ilvl="0" w:tplc="A6DE20E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6D514DB"/>
    <w:multiLevelType w:val="hybridMultilevel"/>
    <w:tmpl w:val="81D2F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C71BF9"/>
    <w:multiLevelType w:val="hybridMultilevel"/>
    <w:tmpl w:val="C03EB8EA"/>
    <w:lvl w:ilvl="0" w:tplc="040C000B">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9">
    <w:nsid w:val="211D00F2"/>
    <w:multiLevelType w:val="hybridMultilevel"/>
    <w:tmpl w:val="05BC5F92"/>
    <w:lvl w:ilvl="0" w:tplc="EA489496">
      <w:start w:val="1"/>
      <w:numFmt w:val="decimal"/>
      <w:lvlText w:val="%1."/>
      <w:lvlJc w:val="left"/>
      <w:pPr>
        <w:ind w:left="1211" w:hanging="360"/>
      </w:pPr>
      <w:rPr>
        <w:b/>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start w:val="1"/>
      <w:numFmt w:val="decimal"/>
      <w:lvlText w:val="%4."/>
      <w:lvlJc w:val="left"/>
      <w:pPr>
        <w:ind w:left="3371" w:hanging="360"/>
      </w:pPr>
    </w:lvl>
    <w:lvl w:ilvl="4" w:tplc="040C0019">
      <w:start w:val="1"/>
      <w:numFmt w:val="lowerLetter"/>
      <w:lvlText w:val="%5."/>
      <w:lvlJc w:val="left"/>
      <w:pPr>
        <w:ind w:left="4091" w:hanging="360"/>
      </w:pPr>
    </w:lvl>
    <w:lvl w:ilvl="5" w:tplc="040C001B">
      <w:start w:val="1"/>
      <w:numFmt w:val="lowerRoman"/>
      <w:lvlText w:val="%6."/>
      <w:lvlJc w:val="right"/>
      <w:pPr>
        <w:ind w:left="4811" w:hanging="180"/>
      </w:pPr>
    </w:lvl>
    <w:lvl w:ilvl="6" w:tplc="040C000F">
      <w:start w:val="1"/>
      <w:numFmt w:val="decimal"/>
      <w:lvlText w:val="%7."/>
      <w:lvlJc w:val="left"/>
      <w:pPr>
        <w:ind w:left="5531" w:hanging="360"/>
      </w:pPr>
    </w:lvl>
    <w:lvl w:ilvl="7" w:tplc="040C0019">
      <w:start w:val="1"/>
      <w:numFmt w:val="lowerLetter"/>
      <w:lvlText w:val="%8."/>
      <w:lvlJc w:val="left"/>
      <w:pPr>
        <w:ind w:left="6251" w:hanging="360"/>
      </w:pPr>
    </w:lvl>
    <w:lvl w:ilvl="8" w:tplc="040C001B">
      <w:start w:val="1"/>
      <w:numFmt w:val="lowerRoman"/>
      <w:lvlText w:val="%9."/>
      <w:lvlJc w:val="right"/>
      <w:pPr>
        <w:ind w:left="6971" w:hanging="180"/>
      </w:pPr>
    </w:lvl>
  </w:abstractNum>
  <w:abstractNum w:abstractNumId="10">
    <w:nsid w:val="213B1BD4"/>
    <w:multiLevelType w:val="hybridMultilevel"/>
    <w:tmpl w:val="B2C01F7A"/>
    <w:lvl w:ilvl="0" w:tplc="DA40696E">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091"/>
        </w:tabs>
        <w:ind w:left="1091" w:hanging="360"/>
      </w:pPr>
      <w:rPr>
        <w:rFonts w:ascii="Courier New" w:hAnsi="Courier New" w:cs="Courier New" w:hint="default"/>
      </w:rPr>
    </w:lvl>
    <w:lvl w:ilvl="2" w:tplc="040C0005">
      <w:start w:val="1"/>
      <w:numFmt w:val="bullet"/>
      <w:lvlText w:val=""/>
      <w:lvlJc w:val="left"/>
      <w:pPr>
        <w:tabs>
          <w:tab w:val="num" w:pos="1811"/>
        </w:tabs>
        <w:ind w:left="1811" w:hanging="360"/>
      </w:pPr>
      <w:rPr>
        <w:rFonts w:ascii="Wingdings" w:hAnsi="Wingdings" w:hint="default"/>
      </w:rPr>
    </w:lvl>
    <w:lvl w:ilvl="3" w:tplc="040C0001">
      <w:start w:val="1"/>
      <w:numFmt w:val="bullet"/>
      <w:lvlText w:val=""/>
      <w:lvlJc w:val="left"/>
      <w:pPr>
        <w:tabs>
          <w:tab w:val="num" w:pos="2531"/>
        </w:tabs>
        <w:ind w:left="2531" w:hanging="360"/>
      </w:pPr>
      <w:rPr>
        <w:rFonts w:ascii="Symbol" w:hAnsi="Symbol" w:hint="default"/>
      </w:rPr>
    </w:lvl>
    <w:lvl w:ilvl="4" w:tplc="040C0003">
      <w:start w:val="1"/>
      <w:numFmt w:val="bullet"/>
      <w:lvlText w:val="o"/>
      <w:lvlJc w:val="left"/>
      <w:pPr>
        <w:tabs>
          <w:tab w:val="num" w:pos="3251"/>
        </w:tabs>
        <w:ind w:left="3251" w:hanging="360"/>
      </w:pPr>
      <w:rPr>
        <w:rFonts w:ascii="Courier New" w:hAnsi="Courier New" w:cs="Courier New" w:hint="default"/>
      </w:rPr>
    </w:lvl>
    <w:lvl w:ilvl="5" w:tplc="040C0005">
      <w:start w:val="1"/>
      <w:numFmt w:val="bullet"/>
      <w:lvlText w:val=""/>
      <w:lvlJc w:val="left"/>
      <w:pPr>
        <w:tabs>
          <w:tab w:val="num" w:pos="3971"/>
        </w:tabs>
        <w:ind w:left="3971" w:hanging="360"/>
      </w:pPr>
      <w:rPr>
        <w:rFonts w:ascii="Wingdings" w:hAnsi="Wingdings" w:hint="default"/>
      </w:rPr>
    </w:lvl>
    <w:lvl w:ilvl="6" w:tplc="040C0001">
      <w:start w:val="1"/>
      <w:numFmt w:val="bullet"/>
      <w:lvlText w:val=""/>
      <w:lvlJc w:val="left"/>
      <w:pPr>
        <w:tabs>
          <w:tab w:val="num" w:pos="4691"/>
        </w:tabs>
        <w:ind w:left="4691" w:hanging="360"/>
      </w:pPr>
      <w:rPr>
        <w:rFonts w:ascii="Symbol" w:hAnsi="Symbol" w:hint="default"/>
      </w:rPr>
    </w:lvl>
    <w:lvl w:ilvl="7" w:tplc="040C0003">
      <w:start w:val="1"/>
      <w:numFmt w:val="bullet"/>
      <w:lvlText w:val="o"/>
      <w:lvlJc w:val="left"/>
      <w:pPr>
        <w:tabs>
          <w:tab w:val="num" w:pos="5411"/>
        </w:tabs>
        <w:ind w:left="5411" w:hanging="360"/>
      </w:pPr>
      <w:rPr>
        <w:rFonts w:ascii="Courier New" w:hAnsi="Courier New" w:cs="Courier New" w:hint="default"/>
      </w:rPr>
    </w:lvl>
    <w:lvl w:ilvl="8" w:tplc="040C0005">
      <w:start w:val="1"/>
      <w:numFmt w:val="bullet"/>
      <w:lvlText w:val=""/>
      <w:lvlJc w:val="left"/>
      <w:pPr>
        <w:tabs>
          <w:tab w:val="num" w:pos="6131"/>
        </w:tabs>
        <w:ind w:left="6131" w:hanging="360"/>
      </w:pPr>
      <w:rPr>
        <w:rFonts w:ascii="Wingdings" w:hAnsi="Wingdings" w:hint="default"/>
      </w:rPr>
    </w:lvl>
  </w:abstractNum>
  <w:abstractNum w:abstractNumId="11">
    <w:nsid w:val="267809D0"/>
    <w:multiLevelType w:val="hybridMultilevel"/>
    <w:tmpl w:val="B134BC00"/>
    <w:lvl w:ilvl="0" w:tplc="D5C2F640">
      <w:start w:val="1"/>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12">
    <w:nsid w:val="29EC05F8"/>
    <w:multiLevelType w:val="hybridMultilevel"/>
    <w:tmpl w:val="0B1EC33E"/>
    <w:lvl w:ilvl="0" w:tplc="2BF6E3DC">
      <w:start w:val="1"/>
      <w:numFmt w:val="decimal"/>
      <w:lvlText w:val="%1."/>
      <w:lvlJc w:val="left"/>
      <w:pPr>
        <w:ind w:left="1211" w:hanging="360"/>
      </w:p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start w:val="1"/>
      <w:numFmt w:val="decimal"/>
      <w:lvlText w:val="%4."/>
      <w:lvlJc w:val="left"/>
      <w:pPr>
        <w:ind w:left="3371" w:hanging="360"/>
      </w:pPr>
    </w:lvl>
    <w:lvl w:ilvl="4" w:tplc="040C0019">
      <w:start w:val="1"/>
      <w:numFmt w:val="lowerLetter"/>
      <w:lvlText w:val="%5."/>
      <w:lvlJc w:val="left"/>
      <w:pPr>
        <w:ind w:left="4091" w:hanging="360"/>
      </w:pPr>
    </w:lvl>
    <w:lvl w:ilvl="5" w:tplc="040C001B">
      <w:start w:val="1"/>
      <w:numFmt w:val="lowerRoman"/>
      <w:lvlText w:val="%6."/>
      <w:lvlJc w:val="right"/>
      <w:pPr>
        <w:ind w:left="4811" w:hanging="180"/>
      </w:pPr>
    </w:lvl>
    <w:lvl w:ilvl="6" w:tplc="040C000F">
      <w:start w:val="1"/>
      <w:numFmt w:val="decimal"/>
      <w:lvlText w:val="%7."/>
      <w:lvlJc w:val="left"/>
      <w:pPr>
        <w:ind w:left="5531" w:hanging="360"/>
      </w:pPr>
    </w:lvl>
    <w:lvl w:ilvl="7" w:tplc="040C0019">
      <w:start w:val="1"/>
      <w:numFmt w:val="lowerLetter"/>
      <w:lvlText w:val="%8."/>
      <w:lvlJc w:val="left"/>
      <w:pPr>
        <w:ind w:left="6251" w:hanging="360"/>
      </w:pPr>
    </w:lvl>
    <w:lvl w:ilvl="8" w:tplc="040C001B">
      <w:start w:val="1"/>
      <w:numFmt w:val="lowerRoman"/>
      <w:lvlText w:val="%9."/>
      <w:lvlJc w:val="right"/>
      <w:pPr>
        <w:ind w:left="6971" w:hanging="180"/>
      </w:pPr>
    </w:lvl>
  </w:abstractNum>
  <w:abstractNum w:abstractNumId="13">
    <w:nsid w:val="2F9B1AD5"/>
    <w:multiLevelType w:val="hybridMultilevel"/>
    <w:tmpl w:val="F564BD84"/>
    <w:lvl w:ilvl="0" w:tplc="210C24B0">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6F5195E"/>
    <w:multiLevelType w:val="hybridMultilevel"/>
    <w:tmpl w:val="88B05D7E"/>
    <w:lvl w:ilvl="0" w:tplc="E5E05432">
      <w:start w:val="1"/>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5">
    <w:nsid w:val="37F907FD"/>
    <w:multiLevelType w:val="hybridMultilevel"/>
    <w:tmpl w:val="B224BAC2"/>
    <w:lvl w:ilvl="0" w:tplc="D4AEA5C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6">
    <w:nsid w:val="3F2526E3"/>
    <w:multiLevelType w:val="hybridMultilevel"/>
    <w:tmpl w:val="6FEADAE2"/>
    <w:lvl w:ilvl="0" w:tplc="DD78CF6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42BC57F5"/>
    <w:multiLevelType w:val="hybridMultilevel"/>
    <w:tmpl w:val="A7A2A214"/>
    <w:lvl w:ilvl="0" w:tplc="4BAEC70C">
      <w:start w:val="1"/>
      <w:numFmt w:val="lowerLetter"/>
      <w:lvlText w:val="%1)"/>
      <w:lvlJc w:val="left"/>
      <w:pPr>
        <w:tabs>
          <w:tab w:val="num" w:pos="836"/>
        </w:tabs>
        <w:ind w:left="836" w:hanging="552"/>
      </w:pPr>
    </w:lvl>
    <w:lvl w:ilvl="1" w:tplc="040C0019">
      <w:start w:val="1"/>
      <w:numFmt w:val="lowerLetter"/>
      <w:lvlText w:val="%2."/>
      <w:lvlJc w:val="left"/>
      <w:pPr>
        <w:tabs>
          <w:tab w:val="num" w:pos="1364"/>
        </w:tabs>
        <w:ind w:left="1364" w:hanging="360"/>
      </w:p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abstractNum w:abstractNumId="18">
    <w:nsid w:val="453838E9"/>
    <w:multiLevelType w:val="hybridMultilevel"/>
    <w:tmpl w:val="EDF80552"/>
    <w:lvl w:ilvl="0" w:tplc="040C000D">
      <w:start w:val="1"/>
      <w:numFmt w:val="bullet"/>
      <w:lvlText w:val=""/>
      <w:lvlJc w:val="left"/>
      <w:pPr>
        <w:ind w:left="1931" w:hanging="360"/>
      </w:pPr>
      <w:rPr>
        <w:rFonts w:ascii="Wingdings" w:hAnsi="Wingdings" w:hint="default"/>
      </w:rPr>
    </w:lvl>
    <w:lvl w:ilvl="1" w:tplc="040C0003">
      <w:start w:val="1"/>
      <w:numFmt w:val="bullet"/>
      <w:lvlText w:val="o"/>
      <w:lvlJc w:val="left"/>
      <w:pPr>
        <w:ind w:left="2651" w:hanging="360"/>
      </w:pPr>
      <w:rPr>
        <w:rFonts w:ascii="Courier New" w:hAnsi="Courier New" w:cs="Courier New" w:hint="default"/>
      </w:rPr>
    </w:lvl>
    <w:lvl w:ilvl="2" w:tplc="040C0005">
      <w:start w:val="1"/>
      <w:numFmt w:val="bullet"/>
      <w:lvlText w:val=""/>
      <w:lvlJc w:val="left"/>
      <w:pPr>
        <w:ind w:left="3371" w:hanging="360"/>
      </w:pPr>
      <w:rPr>
        <w:rFonts w:ascii="Wingdings" w:hAnsi="Wingdings" w:hint="default"/>
      </w:rPr>
    </w:lvl>
    <w:lvl w:ilvl="3" w:tplc="040C0001">
      <w:start w:val="1"/>
      <w:numFmt w:val="bullet"/>
      <w:lvlText w:val=""/>
      <w:lvlJc w:val="left"/>
      <w:pPr>
        <w:ind w:left="4091" w:hanging="360"/>
      </w:pPr>
      <w:rPr>
        <w:rFonts w:ascii="Symbol" w:hAnsi="Symbol" w:hint="default"/>
      </w:rPr>
    </w:lvl>
    <w:lvl w:ilvl="4" w:tplc="040C0003">
      <w:start w:val="1"/>
      <w:numFmt w:val="bullet"/>
      <w:lvlText w:val="o"/>
      <w:lvlJc w:val="left"/>
      <w:pPr>
        <w:ind w:left="4811" w:hanging="360"/>
      </w:pPr>
      <w:rPr>
        <w:rFonts w:ascii="Courier New" w:hAnsi="Courier New" w:cs="Courier New" w:hint="default"/>
      </w:rPr>
    </w:lvl>
    <w:lvl w:ilvl="5" w:tplc="040C0005">
      <w:start w:val="1"/>
      <w:numFmt w:val="bullet"/>
      <w:lvlText w:val=""/>
      <w:lvlJc w:val="left"/>
      <w:pPr>
        <w:ind w:left="5531" w:hanging="360"/>
      </w:pPr>
      <w:rPr>
        <w:rFonts w:ascii="Wingdings" w:hAnsi="Wingdings" w:hint="default"/>
      </w:rPr>
    </w:lvl>
    <w:lvl w:ilvl="6" w:tplc="040C0001">
      <w:start w:val="1"/>
      <w:numFmt w:val="bullet"/>
      <w:lvlText w:val=""/>
      <w:lvlJc w:val="left"/>
      <w:pPr>
        <w:ind w:left="6251" w:hanging="360"/>
      </w:pPr>
      <w:rPr>
        <w:rFonts w:ascii="Symbol" w:hAnsi="Symbol" w:hint="default"/>
      </w:rPr>
    </w:lvl>
    <w:lvl w:ilvl="7" w:tplc="040C0003">
      <w:start w:val="1"/>
      <w:numFmt w:val="bullet"/>
      <w:lvlText w:val="o"/>
      <w:lvlJc w:val="left"/>
      <w:pPr>
        <w:ind w:left="6971" w:hanging="360"/>
      </w:pPr>
      <w:rPr>
        <w:rFonts w:ascii="Courier New" w:hAnsi="Courier New" w:cs="Courier New" w:hint="default"/>
      </w:rPr>
    </w:lvl>
    <w:lvl w:ilvl="8" w:tplc="040C0005">
      <w:start w:val="1"/>
      <w:numFmt w:val="bullet"/>
      <w:lvlText w:val=""/>
      <w:lvlJc w:val="left"/>
      <w:pPr>
        <w:ind w:left="7691" w:hanging="360"/>
      </w:pPr>
      <w:rPr>
        <w:rFonts w:ascii="Wingdings" w:hAnsi="Wingdings" w:hint="default"/>
      </w:rPr>
    </w:lvl>
  </w:abstractNum>
  <w:abstractNum w:abstractNumId="19">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20">
    <w:nsid w:val="4BFC3A9C"/>
    <w:multiLevelType w:val="hybridMultilevel"/>
    <w:tmpl w:val="5E7C1408"/>
    <w:lvl w:ilvl="0" w:tplc="DE6A0B36">
      <w:start w:val="1"/>
      <w:numFmt w:val="lowerLetter"/>
      <w:lvlText w:val="%1)"/>
      <w:lvlJc w:val="left"/>
      <w:pPr>
        <w:tabs>
          <w:tab w:val="num" w:pos="600"/>
        </w:tabs>
        <w:ind w:left="600" w:hanging="360"/>
      </w:pPr>
      <w:rPr>
        <w:rFonts w:ascii="Times New Roman" w:hAnsi="Times New Roman" w:cs="Times New Roman" w:hint="default"/>
      </w:rPr>
    </w:lvl>
    <w:lvl w:ilvl="1" w:tplc="423427B8">
      <w:numFmt w:val="bullet"/>
      <w:lvlText w:val="-"/>
      <w:lvlJc w:val="left"/>
      <w:pPr>
        <w:tabs>
          <w:tab w:val="num" w:pos="1320"/>
        </w:tabs>
        <w:ind w:left="1320" w:hanging="360"/>
      </w:pPr>
      <w:rPr>
        <w:rFonts w:ascii="Times New Roman" w:eastAsia="Times New Roman" w:hAnsi="Times New Roman" w:hint="default"/>
      </w:rPr>
    </w:lvl>
    <w:lvl w:ilvl="2" w:tplc="040C001B">
      <w:start w:val="1"/>
      <w:numFmt w:val="lowerRoman"/>
      <w:lvlText w:val="%3."/>
      <w:lvlJc w:val="right"/>
      <w:pPr>
        <w:tabs>
          <w:tab w:val="num" w:pos="2040"/>
        </w:tabs>
        <w:ind w:left="2040" w:hanging="180"/>
      </w:pPr>
      <w:rPr>
        <w:rFonts w:ascii="Times New Roman" w:hAnsi="Times New Roman" w:cs="Times New Roman"/>
      </w:rPr>
    </w:lvl>
    <w:lvl w:ilvl="3" w:tplc="423427B8">
      <w:numFmt w:val="bullet"/>
      <w:lvlText w:val="-"/>
      <w:lvlJc w:val="left"/>
      <w:pPr>
        <w:tabs>
          <w:tab w:val="num" w:pos="2760"/>
        </w:tabs>
        <w:ind w:left="2760" w:hanging="360"/>
      </w:pPr>
      <w:rPr>
        <w:rFonts w:ascii="Times New Roman" w:eastAsia="Times New Roman" w:hAnsi="Times New Roman" w:hint="default"/>
      </w:rPr>
    </w:lvl>
    <w:lvl w:ilvl="4" w:tplc="423427B8">
      <w:numFmt w:val="bullet"/>
      <w:lvlText w:val="-"/>
      <w:lvlJc w:val="left"/>
      <w:pPr>
        <w:tabs>
          <w:tab w:val="num" w:pos="3480"/>
        </w:tabs>
        <w:ind w:left="3480" w:hanging="360"/>
      </w:pPr>
      <w:rPr>
        <w:rFonts w:ascii="Times New Roman" w:eastAsia="Times New Roman" w:hAnsi="Times New Roman" w:hint="default"/>
      </w:rPr>
    </w:lvl>
    <w:lvl w:ilvl="5" w:tplc="040C001B">
      <w:start w:val="1"/>
      <w:numFmt w:val="lowerRoman"/>
      <w:lvlText w:val="%6."/>
      <w:lvlJc w:val="right"/>
      <w:pPr>
        <w:tabs>
          <w:tab w:val="num" w:pos="4200"/>
        </w:tabs>
        <w:ind w:left="4200" w:hanging="180"/>
      </w:pPr>
      <w:rPr>
        <w:rFonts w:ascii="Times New Roman" w:hAnsi="Times New Roman" w:cs="Times New Roman"/>
      </w:rPr>
    </w:lvl>
    <w:lvl w:ilvl="6" w:tplc="040C000F">
      <w:start w:val="1"/>
      <w:numFmt w:val="decimal"/>
      <w:lvlText w:val="%7."/>
      <w:lvlJc w:val="left"/>
      <w:pPr>
        <w:tabs>
          <w:tab w:val="num" w:pos="4920"/>
        </w:tabs>
        <w:ind w:left="4920" w:hanging="360"/>
      </w:pPr>
      <w:rPr>
        <w:rFonts w:ascii="Times New Roman" w:hAnsi="Times New Roman" w:cs="Times New Roman"/>
      </w:rPr>
    </w:lvl>
    <w:lvl w:ilvl="7" w:tplc="040C0019">
      <w:start w:val="1"/>
      <w:numFmt w:val="lowerLetter"/>
      <w:lvlText w:val="%8."/>
      <w:lvlJc w:val="left"/>
      <w:pPr>
        <w:tabs>
          <w:tab w:val="num" w:pos="5640"/>
        </w:tabs>
        <w:ind w:left="5640" w:hanging="360"/>
      </w:pPr>
      <w:rPr>
        <w:rFonts w:ascii="Times New Roman" w:hAnsi="Times New Roman" w:cs="Times New Roman"/>
      </w:rPr>
    </w:lvl>
    <w:lvl w:ilvl="8" w:tplc="040C001B">
      <w:start w:val="1"/>
      <w:numFmt w:val="lowerRoman"/>
      <w:lvlText w:val="%9."/>
      <w:lvlJc w:val="right"/>
      <w:pPr>
        <w:tabs>
          <w:tab w:val="num" w:pos="6360"/>
        </w:tabs>
        <w:ind w:left="6360" w:hanging="180"/>
      </w:pPr>
      <w:rPr>
        <w:rFonts w:ascii="Times New Roman" w:hAnsi="Times New Roman" w:cs="Times New Roman"/>
      </w:rPr>
    </w:lvl>
  </w:abstractNum>
  <w:abstractNum w:abstractNumId="21">
    <w:nsid w:val="5333035B"/>
    <w:multiLevelType w:val="hybridMultilevel"/>
    <w:tmpl w:val="04069FAC"/>
    <w:lvl w:ilvl="0" w:tplc="AF4CA34C">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Courier New"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Courier New"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22">
    <w:nsid w:val="54A57D1B"/>
    <w:multiLevelType w:val="hybridMultilevel"/>
    <w:tmpl w:val="C82839E6"/>
    <w:lvl w:ilvl="0" w:tplc="8728A22A">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3">
    <w:nsid w:val="57B87C91"/>
    <w:multiLevelType w:val="hybridMultilevel"/>
    <w:tmpl w:val="351CD688"/>
    <w:lvl w:ilvl="0" w:tplc="AF4CA3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B278A7"/>
    <w:multiLevelType w:val="hybridMultilevel"/>
    <w:tmpl w:val="A0B00906"/>
    <w:lvl w:ilvl="0" w:tplc="850C8758">
      <w:numFmt w:val="bullet"/>
      <w:lvlText w:val="-"/>
      <w:lvlJc w:val="left"/>
      <w:pPr>
        <w:tabs>
          <w:tab w:val="num" w:pos="13245"/>
        </w:tabs>
        <w:ind w:left="13245" w:hanging="1050"/>
      </w:pPr>
      <w:rPr>
        <w:rFonts w:ascii="Times New Roman" w:eastAsia="Times New Roman" w:hAnsi="Times New Roman" w:cs="Times New Roman" w:hint="default"/>
      </w:rPr>
    </w:lvl>
    <w:lvl w:ilvl="1" w:tplc="040C0003">
      <w:start w:val="1"/>
      <w:numFmt w:val="bullet"/>
      <w:lvlText w:val="o"/>
      <w:lvlJc w:val="left"/>
      <w:pPr>
        <w:tabs>
          <w:tab w:val="num" w:pos="13275"/>
        </w:tabs>
        <w:ind w:left="13275" w:hanging="360"/>
      </w:pPr>
      <w:rPr>
        <w:rFonts w:ascii="Courier New" w:hAnsi="Courier New" w:cs="Times New Roman" w:hint="default"/>
      </w:rPr>
    </w:lvl>
    <w:lvl w:ilvl="2" w:tplc="040C0005">
      <w:start w:val="1"/>
      <w:numFmt w:val="bullet"/>
      <w:lvlText w:val=""/>
      <w:lvlJc w:val="left"/>
      <w:pPr>
        <w:tabs>
          <w:tab w:val="num" w:pos="13995"/>
        </w:tabs>
        <w:ind w:left="13995" w:hanging="360"/>
      </w:pPr>
      <w:rPr>
        <w:rFonts w:ascii="Wingdings" w:hAnsi="Wingdings" w:hint="default"/>
      </w:rPr>
    </w:lvl>
    <w:lvl w:ilvl="3" w:tplc="040C0001">
      <w:start w:val="1"/>
      <w:numFmt w:val="bullet"/>
      <w:lvlText w:val=""/>
      <w:lvlJc w:val="left"/>
      <w:pPr>
        <w:tabs>
          <w:tab w:val="num" w:pos="14715"/>
        </w:tabs>
        <w:ind w:left="14715" w:hanging="360"/>
      </w:pPr>
      <w:rPr>
        <w:rFonts w:ascii="Symbol" w:hAnsi="Symbol" w:hint="default"/>
      </w:rPr>
    </w:lvl>
    <w:lvl w:ilvl="4" w:tplc="040C0003">
      <w:start w:val="1"/>
      <w:numFmt w:val="bullet"/>
      <w:lvlText w:val="o"/>
      <w:lvlJc w:val="left"/>
      <w:pPr>
        <w:tabs>
          <w:tab w:val="num" w:pos="15435"/>
        </w:tabs>
        <w:ind w:left="15435" w:hanging="360"/>
      </w:pPr>
      <w:rPr>
        <w:rFonts w:ascii="Courier New" w:hAnsi="Courier New" w:cs="Times New Roman" w:hint="default"/>
      </w:rPr>
    </w:lvl>
    <w:lvl w:ilvl="5" w:tplc="040C0005">
      <w:start w:val="1"/>
      <w:numFmt w:val="bullet"/>
      <w:lvlText w:val=""/>
      <w:lvlJc w:val="left"/>
      <w:pPr>
        <w:tabs>
          <w:tab w:val="num" w:pos="16155"/>
        </w:tabs>
        <w:ind w:left="16155" w:hanging="360"/>
      </w:pPr>
      <w:rPr>
        <w:rFonts w:ascii="Wingdings" w:hAnsi="Wingdings" w:hint="default"/>
      </w:rPr>
    </w:lvl>
    <w:lvl w:ilvl="6" w:tplc="040C0001">
      <w:start w:val="1"/>
      <w:numFmt w:val="bullet"/>
      <w:lvlText w:val=""/>
      <w:lvlJc w:val="left"/>
      <w:pPr>
        <w:tabs>
          <w:tab w:val="num" w:pos="16875"/>
        </w:tabs>
        <w:ind w:left="16875" w:hanging="360"/>
      </w:pPr>
      <w:rPr>
        <w:rFonts w:ascii="Symbol" w:hAnsi="Symbol" w:hint="default"/>
      </w:rPr>
    </w:lvl>
    <w:lvl w:ilvl="7" w:tplc="040C0003">
      <w:start w:val="1"/>
      <w:numFmt w:val="bullet"/>
      <w:lvlText w:val="o"/>
      <w:lvlJc w:val="left"/>
      <w:pPr>
        <w:tabs>
          <w:tab w:val="num" w:pos="17595"/>
        </w:tabs>
        <w:ind w:left="17595" w:hanging="360"/>
      </w:pPr>
      <w:rPr>
        <w:rFonts w:ascii="Courier New" w:hAnsi="Courier New" w:cs="Times New Roman" w:hint="default"/>
      </w:rPr>
    </w:lvl>
    <w:lvl w:ilvl="8" w:tplc="040C0005">
      <w:start w:val="1"/>
      <w:numFmt w:val="bullet"/>
      <w:lvlText w:val=""/>
      <w:lvlJc w:val="left"/>
      <w:pPr>
        <w:tabs>
          <w:tab w:val="num" w:pos="18315"/>
        </w:tabs>
        <w:ind w:left="18315" w:hanging="360"/>
      </w:pPr>
      <w:rPr>
        <w:rFonts w:ascii="Wingdings" w:hAnsi="Wingdings" w:hint="default"/>
      </w:rPr>
    </w:lvl>
  </w:abstractNum>
  <w:abstractNum w:abstractNumId="25">
    <w:nsid w:val="5E093E69"/>
    <w:multiLevelType w:val="hybridMultilevel"/>
    <w:tmpl w:val="D60664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5FB27A1C"/>
    <w:multiLevelType w:val="hybridMultilevel"/>
    <w:tmpl w:val="F9FCCB56"/>
    <w:lvl w:ilvl="0" w:tplc="040C000D">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7">
    <w:nsid w:val="64C94588"/>
    <w:multiLevelType w:val="hybridMultilevel"/>
    <w:tmpl w:val="7CCC0C2A"/>
    <w:lvl w:ilvl="0" w:tplc="040C000F">
      <w:start w:val="1"/>
      <w:numFmt w:val="decimal"/>
      <w:lvlText w:val="%1."/>
      <w:lvlJc w:val="left"/>
      <w:pPr>
        <w:ind w:left="1429"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66D12056"/>
    <w:multiLevelType w:val="hybridMultilevel"/>
    <w:tmpl w:val="607625C0"/>
    <w:lvl w:ilvl="0" w:tplc="59300B36">
      <w:start w:val="1"/>
      <w:numFmt w:val="bullet"/>
      <w:lvlText w:val="-"/>
      <w:lvlJc w:val="left"/>
      <w:pPr>
        <w:ind w:left="720" w:hanging="360"/>
      </w:pPr>
      <w:rPr>
        <w:rFonts w:ascii="Agency FB" w:hAnsi="Agency FB"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695E7E99"/>
    <w:multiLevelType w:val="hybridMultilevel"/>
    <w:tmpl w:val="BAD2A896"/>
    <w:lvl w:ilvl="0" w:tplc="1A269F96">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30">
    <w:nsid w:val="6B160B48"/>
    <w:multiLevelType w:val="hybridMultilevel"/>
    <w:tmpl w:val="9A3431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6CB52E4A"/>
    <w:multiLevelType w:val="hybridMultilevel"/>
    <w:tmpl w:val="F3F24DA2"/>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E6B4FBC"/>
    <w:multiLevelType w:val="hybridMultilevel"/>
    <w:tmpl w:val="6CD83814"/>
    <w:lvl w:ilvl="0" w:tplc="BF3614B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6F8B7D5D"/>
    <w:multiLevelType w:val="hybridMultilevel"/>
    <w:tmpl w:val="540229B4"/>
    <w:lvl w:ilvl="0" w:tplc="E6B445AC">
      <w:start w:val="4"/>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34">
    <w:nsid w:val="72CB1D2A"/>
    <w:multiLevelType w:val="hybridMultilevel"/>
    <w:tmpl w:val="0ECE4B7C"/>
    <w:lvl w:ilvl="0" w:tplc="C46ACAB4">
      <w:start w:val="1"/>
      <w:numFmt w:val="bullet"/>
      <w:lvlText w:val=""/>
      <w:lvlJc w:val="left"/>
      <w:pPr>
        <w:ind w:left="360" w:hanging="360"/>
      </w:pPr>
      <w:rPr>
        <w:rFonts w:ascii="Symbol" w:hAnsi="Symbol" w:hint="default"/>
      </w:rPr>
    </w:lvl>
    <w:lvl w:ilvl="1" w:tplc="040C0003">
      <w:start w:val="1"/>
      <w:numFmt w:val="bullet"/>
      <w:lvlText w:val="o"/>
      <w:lvlJc w:val="left"/>
      <w:pPr>
        <w:ind w:left="229" w:hanging="360"/>
      </w:pPr>
      <w:rPr>
        <w:rFonts w:ascii="Courier New" w:hAnsi="Courier New" w:cs="Courier New" w:hint="default"/>
      </w:rPr>
    </w:lvl>
    <w:lvl w:ilvl="2" w:tplc="040C0005">
      <w:start w:val="1"/>
      <w:numFmt w:val="bullet"/>
      <w:lvlText w:val=""/>
      <w:lvlJc w:val="left"/>
      <w:pPr>
        <w:ind w:left="949" w:hanging="360"/>
      </w:pPr>
      <w:rPr>
        <w:rFonts w:ascii="Wingdings" w:hAnsi="Wingdings" w:hint="default"/>
      </w:rPr>
    </w:lvl>
    <w:lvl w:ilvl="3" w:tplc="040C0001">
      <w:start w:val="1"/>
      <w:numFmt w:val="bullet"/>
      <w:lvlText w:val=""/>
      <w:lvlJc w:val="left"/>
      <w:pPr>
        <w:ind w:left="1669" w:hanging="360"/>
      </w:pPr>
      <w:rPr>
        <w:rFonts w:ascii="Symbol" w:hAnsi="Symbol" w:hint="default"/>
      </w:rPr>
    </w:lvl>
    <w:lvl w:ilvl="4" w:tplc="040C0003">
      <w:start w:val="1"/>
      <w:numFmt w:val="bullet"/>
      <w:lvlText w:val="o"/>
      <w:lvlJc w:val="left"/>
      <w:pPr>
        <w:ind w:left="2389" w:hanging="360"/>
      </w:pPr>
      <w:rPr>
        <w:rFonts w:ascii="Courier New" w:hAnsi="Courier New" w:cs="Courier New" w:hint="default"/>
      </w:rPr>
    </w:lvl>
    <w:lvl w:ilvl="5" w:tplc="040C0005">
      <w:start w:val="1"/>
      <w:numFmt w:val="bullet"/>
      <w:lvlText w:val=""/>
      <w:lvlJc w:val="left"/>
      <w:pPr>
        <w:ind w:left="3109" w:hanging="360"/>
      </w:pPr>
      <w:rPr>
        <w:rFonts w:ascii="Wingdings" w:hAnsi="Wingdings" w:hint="default"/>
      </w:rPr>
    </w:lvl>
    <w:lvl w:ilvl="6" w:tplc="040C0001">
      <w:start w:val="1"/>
      <w:numFmt w:val="bullet"/>
      <w:lvlText w:val=""/>
      <w:lvlJc w:val="left"/>
      <w:pPr>
        <w:ind w:left="3829" w:hanging="360"/>
      </w:pPr>
      <w:rPr>
        <w:rFonts w:ascii="Symbol" w:hAnsi="Symbol" w:hint="default"/>
      </w:rPr>
    </w:lvl>
    <w:lvl w:ilvl="7" w:tplc="040C0003">
      <w:start w:val="1"/>
      <w:numFmt w:val="bullet"/>
      <w:lvlText w:val="o"/>
      <w:lvlJc w:val="left"/>
      <w:pPr>
        <w:ind w:left="4549" w:hanging="360"/>
      </w:pPr>
      <w:rPr>
        <w:rFonts w:ascii="Courier New" w:hAnsi="Courier New" w:cs="Courier New" w:hint="default"/>
      </w:rPr>
    </w:lvl>
    <w:lvl w:ilvl="8" w:tplc="040C0005">
      <w:start w:val="1"/>
      <w:numFmt w:val="bullet"/>
      <w:lvlText w:val=""/>
      <w:lvlJc w:val="left"/>
      <w:pPr>
        <w:ind w:left="5269" w:hanging="360"/>
      </w:pPr>
      <w:rPr>
        <w:rFonts w:ascii="Wingdings" w:hAnsi="Wingdings" w:hint="default"/>
      </w:rPr>
    </w:lvl>
  </w:abstractNum>
  <w:abstractNum w:abstractNumId="35">
    <w:nsid w:val="767B10D9"/>
    <w:multiLevelType w:val="hybridMultilevel"/>
    <w:tmpl w:val="287A3680"/>
    <w:lvl w:ilvl="0" w:tplc="59300B36">
      <w:start w:val="1"/>
      <w:numFmt w:val="bullet"/>
      <w:lvlText w:val="-"/>
      <w:lvlJc w:val="left"/>
      <w:pPr>
        <w:ind w:left="1571" w:hanging="360"/>
      </w:pPr>
      <w:rPr>
        <w:rFonts w:ascii="Agency FB" w:hAnsi="Agency FB"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36">
    <w:nsid w:val="76915EEE"/>
    <w:multiLevelType w:val="hybridMultilevel"/>
    <w:tmpl w:val="51A6AE66"/>
    <w:lvl w:ilvl="0" w:tplc="E71E163C">
      <w:start w:val="6"/>
      <w:numFmt w:val="bullet"/>
      <w:lvlText w:val="-"/>
      <w:lvlJc w:val="left"/>
      <w:pPr>
        <w:ind w:left="927" w:hanging="360"/>
      </w:pPr>
      <w:rPr>
        <w:rFonts w:ascii="Cambria" w:eastAsia="Times New Roman" w:hAnsi="Cambria"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7">
    <w:nsid w:val="79811619"/>
    <w:multiLevelType w:val="hybridMultilevel"/>
    <w:tmpl w:val="26EECA2E"/>
    <w:lvl w:ilvl="0" w:tplc="A86E063A">
      <w:numFmt w:val="bullet"/>
      <w:lvlText w:val="-"/>
      <w:lvlJc w:val="left"/>
      <w:pPr>
        <w:ind w:left="1211" w:hanging="360"/>
      </w:pPr>
      <w:rPr>
        <w:rFonts w:ascii="Cambria" w:eastAsia="Times New Roman" w:hAnsi="Cambria"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8">
    <w:nsid w:val="7A9153DF"/>
    <w:multiLevelType w:val="singleLevel"/>
    <w:tmpl w:val="119AC172"/>
    <w:lvl w:ilvl="0">
      <w:start w:val="1"/>
      <w:numFmt w:val="none"/>
      <w:lvlText w:val="Objet : "/>
      <w:legacy w:legacy="1" w:legacySpace="0" w:legacyIndent="851"/>
      <w:lvlJc w:val="left"/>
      <w:pPr>
        <w:ind w:left="851" w:hanging="851"/>
      </w:pPr>
      <w:rPr>
        <w:b/>
        <w:i w:val="0"/>
        <w:sz w:val="24"/>
        <w:u w:val="single"/>
      </w:rPr>
    </w:lvl>
  </w:abstractNum>
  <w:abstractNum w:abstractNumId="39">
    <w:nsid w:val="7D0B5598"/>
    <w:multiLevelType w:val="hybridMultilevel"/>
    <w:tmpl w:val="BDB429D0"/>
    <w:lvl w:ilvl="0" w:tplc="656A1912">
      <w:start w:val="1"/>
      <w:numFmt w:val="decimal"/>
      <w:lvlText w:val="%1-"/>
      <w:lvlJc w:val="left"/>
      <w:pPr>
        <w:ind w:left="1069" w:hanging="360"/>
      </w:pPr>
      <w:rPr>
        <w:b/>
      </w:r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40">
    <w:nsid w:val="7DCE1E61"/>
    <w:multiLevelType w:val="hybridMultilevel"/>
    <w:tmpl w:val="55F4E008"/>
    <w:lvl w:ilvl="0" w:tplc="040C0001">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num w:numId="1">
    <w:abstractNumId w:val="4"/>
  </w:num>
  <w:num w:numId="2">
    <w:abstractNumId w:val="20"/>
  </w:num>
  <w:num w:numId="3">
    <w:abstractNumId w:val="8"/>
  </w:num>
  <w:num w:numId="4">
    <w:abstractNumId w:val="2"/>
  </w:num>
  <w:num w:numId="5">
    <w:abstractNumId w:val="4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0"/>
  </w:num>
  <w:num w:numId="9">
    <w:abstractNumId w:val="19"/>
  </w:num>
  <w:num w:numId="10">
    <w:abstractNumId w:val="31"/>
  </w:num>
  <w:num w:numId="11">
    <w:abstractNumId w:val="8"/>
  </w:num>
  <w:num w:numId="12">
    <w:abstractNumId w:val="3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num>
  <w:num w:numId="15">
    <w:abstractNumId w:val="8"/>
  </w:num>
  <w:num w:numId="16">
    <w:abstractNumId w:val="32"/>
  </w:num>
  <w:num w:numId="17">
    <w:abstractNumId w:val="14"/>
  </w:num>
  <w:num w:numId="18">
    <w:abstractNumId w:val="24"/>
  </w:num>
  <w:num w:numId="19">
    <w:abstractNumId w:val="2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8"/>
  </w:num>
  <w:num w:numId="25">
    <w:abstractNumId w:val="3"/>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5"/>
  </w:num>
  <w:num w:numId="29">
    <w:abstractNumId w:val="34"/>
  </w:num>
  <w:num w:numId="30">
    <w:abstractNumId w:val="15"/>
  </w:num>
  <w:num w:numId="31">
    <w:abstractNumId w:val="1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6"/>
  </w:num>
  <w:num w:numId="35">
    <w:abstractNumId w:val="13"/>
  </w:num>
  <w:num w:numId="36">
    <w:abstractNumId w:val="38"/>
  </w:num>
  <w:num w:numId="37">
    <w:abstractNumId w:val="22"/>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1"/>
  </w:num>
  <w:num w:numId="41">
    <w:abstractNumId w:val="5"/>
  </w:num>
  <w:num w:numId="42">
    <w:abstractNumId w:val="7"/>
  </w:num>
  <w:num w:numId="43">
    <w:abstractNumId w:val="23"/>
  </w:num>
  <w:num w:numId="44">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05822"/>
    <w:rsid w:val="0001324F"/>
    <w:rsid w:val="000138F3"/>
    <w:rsid w:val="00014D91"/>
    <w:rsid w:val="0001711D"/>
    <w:rsid w:val="00017404"/>
    <w:rsid w:val="00017E6B"/>
    <w:rsid w:val="00020933"/>
    <w:rsid w:val="00020C36"/>
    <w:rsid w:val="00027CBE"/>
    <w:rsid w:val="00030911"/>
    <w:rsid w:val="00031A8A"/>
    <w:rsid w:val="00033101"/>
    <w:rsid w:val="0003333D"/>
    <w:rsid w:val="00034852"/>
    <w:rsid w:val="00035C6E"/>
    <w:rsid w:val="00043C59"/>
    <w:rsid w:val="0004466D"/>
    <w:rsid w:val="00044B27"/>
    <w:rsid w:val="00045193"/>
    <w:rsid w:val="0005055D"/>
    <w:rsid w:val="00054410"/>
    <w:rsid w:val="00055309"/>
    <w:rsid w:val="0005585F"/>
    <w:rsid w:val="00055C0D"/>
    <w:rsid w:val="00055C6E"/>
    <w:rsid w:val="0005734F"/>
    <w:rsid w:val="000576D3"/>
    <w:rsid w:val="00061244"/>
    <w:rsid w:val="000612C8"/>
    <w:rsid w:val="00061AE1"/>
    <w:rsid w:val="00063B13"/>
    <w:rsid w:val="0007033C"/>
    <w:rsid w:val="00070B2D"/>
    <w:rsid w:val="000732E3"/>
    <w:rsid w:val="000748A0"/>
    <w:rsid w:val="00080A3F"/>
    <w:rsid w:val="00081093"/>
    <w:rsid w:val="00083FE8"/>
    <w:rsid w:val="0008673A"/>
    <w:rsid w:val="000900BF"/>
    <w:rsid w:val="000907F9"/>
    <w:rsid w:val="00092D43"/>
    <w:rsid w:val="0009619C"/>
    <w:rsid w:val="000A01CA"/>
    <w:rsid w:val="000A1274"/>
    <w:rsid w:val="000A56A6"/>
    <w:rsid w:val="000B3B3B"/>
    <w:rsid w:val="000B55C2"/>
    <w:rsid w:val="000B5700"/>
    <w:rsid w:val="000B66AE"/>
    <w:rsid w:val="000C0C94"/>
    <w:rsid w:val="000D000A"/>
    <w:rsid w:val="000D1EAB"/>
    <w:rsid w:val="000D3B1B"/>
    <w:rsid w:val="000D441C"/>
    <w:rsid w:val="000D45B6"/>
    <w:rsid w:val="000D678D"/>
    <w:rsid w:val="000D692B"/>
    <w:rsid w:val="000D6D1C"/>
    <w:rsid w:val="000E278A"/>
    <w:rsid w:val="000E3F92"/>
    <w:rsid w:val="000E5094"/>
    <w:rsid w:val="000E5B9D"/>
    <w:rsid w:val="000E7631"/>
    <w:rsid w:val="000E7785"/>
    <w:rsid w:val="000F671A"/>
    <w:rsid w:val="000F757F"/>
    <w:rsid w:val="00100705"/>
    <w:rsid w:val="00103400"/>
    <w:rsid w:val="00112321"/>
    <w:rsid w:val="00115A29"/>
    <w:rsid w:val="00121AD0"/>
    <w:rsid w:val="001225E2"/>
    <w:rsid w:val="00124139"/>
    <w:rsid w:val="00124167"/>
    <w:rsid w:val="0012445B"/>
    <w:rsid w:val="0013068E"/>
    <w:rsid w:val="00131C87"/>
    <w:rsid w:val="00132116"/>
    <w:rsid w:val="001344CE"/>
    <w:rsid w:val="00135983"/>
    <w:rsid w:val="001365F4"/>
    <w:rsid w:val="00137415"/>
    <w:rsid w:val="00147D4D"/>
    <w:rsid w:val="00152EB1"/>
    <w:rsid w:val="001542A4"/>
    <w:rsid w:val="001554B6"/>
    <w:rsid w:val="001623DF"/>
    <w:rsid w:val="00163D45"/>
    <w:rsid w:val="00165A35"/>
    <w:rsid w:val="00165F00"/>
    <w:rsid w:val="00166EA4"/>
    <w:rsid w:val="0017745A"/>
    <w:rsid w:val="00177E00"/>
    <w:rsid w:val="00181583"/>
    <w:rsid w:val="00182AA6"/>
    <w:rsid w:val="00184186"/>
    <w:rsid w:val="0018426A"/>
    <w:rsid w:val="00185504"/>
    <w:rsid w:val="00186225"/>
    <w:rsid w:val="001875B7"/>
    <w:rsid w:val="00190995"/>
    <w:rsid w:val="001A0310"/>
    <w:rsid w:val="001A0B59"/>
    <w:rsid w:val="001A2C14"/>
    <w:rsid w:val="001A3553"/>
    <w:rsid w:val="001A3C6D"/>
    <w:rsid w:val="001B21B0"/>
    <w:rsid w:val="001B2A1B"/>
    <w:rsid w:val="001B2DF4"/>
    <w:rsid w:val="001B3F2E"/>
    <w:rsid w:val="001B509D"/>
    <w:rsid w:val="001C31AA"/>
    <w:rsid w:val="001C43E8"/>
    <w:rsid w:val="001C47FF"/>
    <w:rsid w:val="001C6733"/>
    <w:rsid w:val="001C7CBB"/>
    <w:rsid w:val="001D085B"/>
    <w:rsid w:val="001D1422"/>
    <w:rsid w:val="001D4E9B"/>
    <w:rsid w:val="001D5B14"/>
    <w:rsid w:val="001E1CB2"/>
    <w:rsid w:val="001E2BE2"/>
    <w:rsid w:val="001E649E"/>
    <w:rsid w:val="001F04B0"/>
    <w:rsid w:val="001F1EA6"/>
    <w:rsid w:val="001F4B01"/>
    <w:rsid w:val="001F557D"/>
    <w:rsid w:val="001F6B8E"/>
    <w:rsid w:val="002000CB"/>
    <w:rsid w:val="00201E50"/>
    <w:rsid w:val="00203255"/>
    <w:rsid w:val="00206CF6"/>
    <w:rsid w:val="00211C2B"/>
    <w:rsid w:val="00211ECD"/>
    <w:rsid w:val="002135DB"/>
    <w:rsid w:val="00217F3A"/>
    <w:rsid w:val="002205C4"/>
    <w:rsid w:val="0022622F"/>
    <w:rsid w:val="00230F80"/>
    <w:rsid w:val="00232248"/>
    <w:rsid w:val="00232E81"/>
    <w:rsid w:val="00237C34"/>
    <w:rsid w:val="00244DF7"/>
    <w:rsid w:val="00244E6B"/>
    <w:rsid w:val="00247872"/>
    <w:rsid w:val="00251A2D"/>
    <w:rsid w:val="00252B52"/>
    <w:rsid w:val="00252D81"/>
    <w:rsid w:val="00256032"/>
    <w:rsid w:val="00260D31"/>
    <w:rsid w:val="0026156C"/>
    <w:rsid w:val="00263F91"/>
    <w:rsid w:val="00264EDB"/>
    <w:rsid w:val="00265B13"/>
    <w:rsid w:val="00267CBD"/>
    <w:rsid w:val="002727C3"/>
    <w:rsid w:val="00273C16"/>
    <w:rsid w:val="00276450"/>
    <w:rsid w:val="0027677E"/>
    <w:rsid w:val="00276D85"/>
    <w:rsid w:val="00283080"/>
    <w:rsid w:val="002837CD"/>
    <w:rsid w:val="002853C7"/>
    <w:rsid w:val="002907E0"/>
    <w:rsid w:val="00291472"/>
    <w:rsid w:val="00297030"/>
    <w:rsid w:val="002973AC"/>
    <w:rsid w:val="002A0968"/>
    <w:rsid w:val="002A1F03"/>
    <w:rsid w:val="002A3865"/>
    <w:rsid w:val="002A3B62"/>
    <w:rsid w:val="002A6907"/>
    <w:rsid w:val="002B11AB"/>
    <w:rsid w:val="002B1A3F"/>
    <w:rsid w:val="002B41DE"/>
    <w:rsid w:val="002B476A"/>
    <w:rsid w:val="002B6783"/>
    <w:rsid w:val="002B6BFC"/>
    <w:rsid w:val="002C3709"/>
    <w:rsid w:val="002C3A1B"/>
    <w:rsid w:val="002C4FBF"/>
    <w:rsid w:val="002C742F"/>
    <w:rsid w:val="002C7BA8"/>
    <w:rsid w:val="002D0707"/>
    <w:rsid w:val="002D1646"/>
    <w:rsid w:val="002D308A"/>
    <w:rsid w:val="002D3151"/>
    <w:rsid w:val="002D582C"/>
    <w:rsid w:val="002D6E9A"/>
    <w:rsid w:val="002D7DFC"/>
    <w:rsid w:val="002E0104"/>
    <w:rsid w:val="002E023E"/>
    <w:rsid w:val="002E28C4"/>
    <w:rsid w:val="002E384E"/>
    <w:rsid w:val="002E4339"/>
    <w:rsid w:val="002E5806"/>
    <w:rsid w:val="002F0092"/>
    <w:rsid w:val="002F0AEA"/>
    <w:rsid w:val="002F38BB"/>
    <w:rsid w:val="002F5914"/>
    <w:rsid w:val="002F7C81"/>
    <w:rsid w:val="00301B94"/>
    <w:rsid w:val="00304106"/>
    <w:rsid w:val="00307818"/>
    <w:rsid w:val="00313E07"/>
    <w:rsid w:val="003257BC"/>
    <w:rsid w:val="00325951"/>
    <w:rsid w:val="003275DB"/>
    <w:rsid w:val="003277CD"/>
    <w:rsid w:val="00340880"/>
    <w:rsid w:val="00340E9B"/>
    <w:rsid w:val="00340EF5"/>
    <w:rsid w:val="00343580"/>
    <w:rsid w:val="00345168"/>
    <w:rsid w:val="0034657A"/>
    <w:rsid w:val="00346608"/>
    <w:rsid w:val="00346E5F"/>
    <w:rsid w:val="00351BBD"/>
    <w:rsid w:val="003556DD"/>
    <w:rsid w:val="003564DC"/>
    <w:rsid w:val="003567A2"/>
    <w:rsid w:val="00360713"/>
    <w:rsid w:val="003618BC"/>
    <w:rsid w:val="003624C1"/>
    <w:rsid w:val="00365BE7"/>
    <w:rsid w:val="00370005"/>
    <w:rsid w:val="00370B15"/>
    <w:rsid w:val="00373583"/>
    <w:rsid w:val="003756E2"/>
    <w:rsid w:val="0038079C"/>
    <w:rsid w:val="00381337"/>
    <w:rsid w:val="00385171"/>
    <w:rsid w:val="00385367"/>
    <w:rsid w:val="00385FF6"/>
    <w:rsid w:val="00387F20"/>
    <w:rsid w:val="00391141"/>
    <w:rsid w:val="0039189C"/>
    <w:rsid w:val="00392DAC"/>
    <w:rsid w:val="0039616B"/>
    <w:rsid w:val="003A158E"/>
    <w:rsid w:val="003A1677"/>
    <w:rsid w:val="003A1A34"/>
    <w:rsid w:val="003A2EB7"/>
    <w:rsid w:val="003A43E8"/>
    <w:rsid w:val="003A5D12"/>
    <w:rsid w:val="003B00F6"/>
    <w:rsid w:val="003B198E"/>
    <w:rsid w:val="003B2799"/>
    <w:rsid w:val="003C049D"/>
    <w:rsid w:val="003C0B91"/>
    <w:rsid w:val="003C2A18"/>
    <w:rsid w:val="003C3A11"/>
    <w:rsid w:val="003C5069"/>
    <w:rsid w:val="003C5EF2"/>
    <w:rsid w:val="003C6658"/>
    <w:rsid w:val="003D2924"/>
    <w:rsid w:val="003D33D3"/>
    <w:rsid w:val="003D4573"/>
    <w:rsid w:val="003D6CBB"/>
    <w:rsid w:val="003E2441"/>
    <w:rsid w:val="003E3E7C"/>
    <w:rsid w:val="003E51C3"/>
    <w:rsid w:val="003F1369"/>
    <w:rsid w:val="003F1EEE"/>
    <w:rsid w:val="003F22CB"/>
    <w:rsid w:val="003F284B"/>
    <w:rsid w:val="003F2C9A"/>
    <w:rsid w:val="003F4D37"/>
    <w:rsid w:val="003F517F"/>
    <w:rsid w:val="003F595F"/>
    <w:rsid w:val="003F5C7D"/>
    <w:rsid w:val="003F6365"/>
    <w:rsid w:val="003F63D9"/>
    <w:rsid w:val="003F6707"/>
    <w:rsid w:val="003F7E60"/>
    <w:rsid w:val="00403B69"/>
    <w:rsid w:val="0041009F"/>
    <w:rsid w:val="00412A49"/>
    <w:rsid w:val="00417B69"/>
    <w:rsid w:val="00420E72"/>
    <w:rsid w:val="004222E2"/>
    <w:rsid w:val="00422F34"/>
    <w:rsid w:val="004240C7"/>
    <w:rsid w:val="00425506"/>
    <w:rsid w:val="00426CCC"/>
    <w:rsid w:val="004273E7"/>
    <w:rsid w:val="004301DC"/>
    <w:rsid w:val="00436B41"/>
    <w:rsid w:val="00440CB3"/>
    <w:rsid w:val="00444323"/>
    <w:rsid w:val="004479A9"/>
    <w:rsid w:val="004527F4"/>
    <w:rsid w:val="004544E5"/>
    <w:rsid w:val="00456CE7"/>
    <w:rsid w:val="00461498"/>
    <w:rsid w:val="00461FC6"/>
    <w:rsid w:val="00474503"/>
    <w:rsid w:val="0047564E"/>
    <w:rsid w:val="00477F4C"/>
    <w:rsid w:val="00480DE2"/>
    <w:rsid w:val="00483076"/>
    <w:rsid w:val="004831B1"/>
    <w:rsid w:val="004855AD"/>
    <w:rsid w:val="00485F25"/>
    <w:rsid w:val="00490305"/>
    <w:rsid w:val="004915C4"/>
    <w:rsid w:val="00491ED8"/>
    <w:rsid w:val="004939BE"/>
    <w:rsid w:val="00495E52"/>
    <w:rsid w:val="004A0723"/>
    <w:rsid w:val="004A59D8"/>
    <w:rsid w:val="004A5A55"/>
    <w:rsid w:val="004A6FF9"/>
    <w:rsid w:val="004A7458"/>
    <w:rsid w:val="004B51F3"/>
    <w:rsid w:val="004B6F46"/>
    <w:rsid w:val="004C0E87"/>
    <w:rsid w:val="004C49E9"/>
    <w:rsid w:val="004C5E03"/>
    <w:rsid w:val="004C69D5"/>
    <w:rsid w:val="004D0C54"/>
    <w:rsid w:val="004D618C"/>
    <w:rsid w:val="004D7082"/>
    <w:rsid w:val="004E2521"/>
    <w:rsid w:val="004E47E8"/>
    <w:rsid w:val="004E79EF"/>
    <w:rsid w:val="004F0B4E"/>
    <w:rsid w:val="004F1983"/>
    <w:rsid w:val="004F1C84"/>
    <w:rsid w:val="004F26CA"/>
    <w:rsid w:val="004F2BAC"/>
    <w:rsid w:val="004F428F"/>
    <w:rsid w:val="004F43F6"/>
    <w:rsid w:val="004F6094"/>
    <w:rsid w:val="00502DF8"/>
    <w:rsid w:val="00505442"/>
    <w:rsid w:val="00505D16"/>
    <w:rsid w:val="00506E3C"/>
    <w:rsid w:val="005148DC"/>
    <w:rsid w:val="005148FA"/>
    <w:rsid w:val="00525785"/>
    <w:rsid w:val="00525793"/>
    <w:rsid w:val="00525A92"/>
    <w:rsid w:val="00526DF8"/>
    <w:rsid w:val="0053211E"/>
    <w:rsid w:val="005322C0"/>
    <w:rsid w:val="005360E4"/>
    <w:rsid w:val="00544BEA"/>
    <w:rsid w:val="00545B75"/>
    <w:rsid w:val="00546429"/>
    <w:rsid w:val="00551965"/>
    <w:rsid w:val="00551CEB"/>
    <w:rsid w:val="005535AC"/>
    <w:rsid w:val="00555CB1"/>
    <w:rsid w:val="0055744A"/>
    <w:rsid w:val="0056093F"/>
    <w:rsid w:val="005639FF"/>
    <w:rsid w:val="005641E5"/>
    <w:rsid w:val="0056597B"/>
    <w:rsid w:val="00567482"/>
    <w:rsid w:val="00567A2C"/>
    <w:rsid w:val="0057448D"/>
    <w:rsid w:val="00575F29"/>
    <w:rsid w:val="00576CC0"/>
    <w:rsid w:val="0057740B"/>
    <w:rsid w:val="00580724"/>
    <w:rsid w:val="0058093B"/>
    <w:rsid w:val="00582082"/>
    <w:rsid w:val="0058628E"/>
    <w:rsid w:val="00587C51"/>
    <w:rsid w:val="0059258B"/>
    <w:rsid w:val="00592A65"/>
    <w:rsid w:val="00595675"/>
    <w:rsid w:val="005A2007"/>
    <w:rsid w:val="005A2445"/>
    <w:rsid w:val="005A39E4"/>
    <w:rsid w:val="005A3ED3"/>
    <w:rsid w:val="005A4191"/>
    <w:rsid w:val="005A762B"/>
    <w:rsid w:val="005A7A19"/>
    <w:rsid w:val="005B08E7"/>
    <w:rsid w:val="005B09EB"/>
    <w:rsid w:val="005C2245"/>
    <w:rsid w:val="005C48EF"/>
    <w:rsid w:val="005C4BAA"/>
    <w:rsid w:val="005D2F0C"/>
    <w:rsid w:val="005D32A8"/>
    <w:rsid w:val="005D3FB1"/>
    <w:rsid w:val="005D4B4E"/>
    <w:rsid w:val="005D7859"/>
    <w:rsid w:val="005E05E6"/>
    <w:rsid w:val="005E0DFA"/>
    <w:rsid w:val="005E2EC3"/>
    <w:rsid w:val="005E4E36"/>
    <w:rsid w:val="005E5D67"/>
    <w:rsid w:val="005E7F78"/>
    <w:rsid w:val="005F0D63"/>
    <w:rsid w:val="005F1772"/>
    <w:rsid w:val="005F2C55"/>
    <w:rsid w:val="005F62AB"/>
    <w:rsid w:val="006032FF"/>
    <w:rsid w:val="00604937"/>
    <w:rsid w:val="0060570C"/>
    <w:rsid w:val="00615030"/>
    <w:rsid w:val="00615475"/>
    <w:rsid w:val="00616308"/>
    <w:rsid w:val="00622778"/>
    <w:rsid w:val="006249C1"/>
    <w:rsid w:val="006305F8"/>
    <w:rsid w:val="00631627"/>
    <w:rsid w:val="00633E91"/>
    <w:rsid w:val="00637594"/>
    <w:rsid w:val="006414A1"/>
    <w:rsid w:val="00644523"/>
    <w:rsid w:val="0064628E"/>
    <w:rsid w:val="00650564"/>
    <w:rsid w:val="006510E4"/>
    <w:rsid w:val="00652F7E"/>
    <w:rsid w:val="00654083"/>
    <w:rsid w:val="00655483"/>
    <w:rsid w:val="00660F30"/>
    <w:rsid w:val="00662998"/>
    <w:rsid w:val="00662DD6"/>
    <w:rsid w:val="00662E5E"/>
    <w:rsid w:val="00664E1E"/>
    <w:rsid w:val="00665FD7"/>
    <w:rsid w:val="00666CA2"/>
    <w:rsid w:val="00666E07"/>
    <w:rsid w:val="00666FB0"/>
    <w:rsid w:val="00667E8B"/>
    <w:rsid w:val="00672F8C"/>
    <w:rsid w:val="006771A8"/>
    <w:rsid w:val="00681527"/>
    <w:rsid w:val="00681E13"/>
    <w:rsid w:val="0068204A"/>
    <w:rsid w:val="00682788"/>
    <w:rsid w:val="00685F3E"/>
    <w:rsid w:val="00686D41"/>
    <w:rsid w:val="0068704F"/>
    <w:rsid w:val="00690610"/>
    <w:rsid w:val="00690725"/>
    <w:rsid w:val="0069275F"/>
    <w:rsid w:val="00692997"/>
    <w:rsid w:val="0069321A"/>
    <w:rsid w:val="006934DA"/>
    <w:rsid w:val="00694608"/>
    <w:rsid w:val="0069461B"/>
    <w:rsid w:val="006A00E2"/>
    <w:rsid w:val="006A7614"/>
    <w:rsid w:val="006B05F9"/>
    <w:rsid w:val="006B157A"/>
    <w:rsid w:val="006B214A"/>
    <w:rsid w:val="006B530A"/>
    <w:rsid w:val="006B6676"/>
    <w:rsid w:val="006C0053"/>
    <w:rsid w:val="006C34C8"/>
    <w:rsid w:val="006C4CDC"/>
    <w:rsid w:val="006C71AF"/>
    <w:rsid w:val="006D24AC"/>
    <w:rsid w:val="006D2A58"/>
    <w:rsid w:val="006D6DC4"/>
    <w:rsid w:val="006E2000"/>
    <w:rsid w:val="006E25D2"/>
    <w:rsid w:val="006E3F92"/>
    <w:rsid w:val="006E7E79"/>
    <w:rsid w:val="006F4814"/>
    <w:rsid w:val="006F6128"/>
    <w:rsid w:val="0070047D"/>
    <w:rsid w:val="007011B7"/>
    <w:rsid w:val="00701A48"/>
    <w:rsid w:val="00703FD4"/>
    <w:rsid w:val="00704537"/>
    <w:rsid w:val="007056B7"/>
    <w:rsid w:val="00706F94"/>
    <w:rsid w:val="00711415"/>
    <w:rsid w:val="00723243"/>
    <w:rsid w:val="0072564B"/>
    <w:rsid w:val="0072574A"/>
    <w:rsid w:val="007343CB"/>
    <w:rsid w:val="0074193B"/>
    <w:rsid w:val="00741FD7"/>
    <w:rsid w:val="00741FDA"/>
    <w:rsid w:val="00744000"/>
    <w:rsid w:val="0074421A"/>
    <w:rsid w:val="00744719"/>
    <w:rsid w:val="00744EC4"/>
    <w:rsid w:val="00744FC6"/>
    <w:rsid w:val="00750849"/>
    <w:rsid w:val="00752B2F"/>
    <w:rsid w:val="007540D6"/>
    <w:rsid w:val="007541EB"/>
    <w:rsid w:val="00756945"/>
    <w:rsid w:val="00757AC5"/>
    <w:rsid w:val="00764B0C"/>
    <w:rsid w:val="00765410"/>
    <w:rsid w:val="00771A43"/>
    <w:rsid w:val="00772FA6"/>
    <w:rsid w:val="00774B22"/>
    <w:rsid w:val="00775265"/>
    <w:rsid w:val="00777804"/>
    <w:rsid w:val="00780D64"/>
    <w:rsid w:val="007931A1"/>
    <w:rsid w:val="00793908"/>
    <w:rsid w:val="007956FD"/>
    <w:rsid w:val="00795EB1"/>
    <w:rsid w:val="00796F45"/>
    <w:rsid w:val="007A1BA0"/>
    <w:rsid w:val="007A1BFA"/>
    <w:rsid w:val="007A36CD"/>
    <w:rsid w:val="007A4CA1"/>
    <w:rsid w:val="007B0817"/>
    <w:rsid w:val="007B2528"/>
    <w:rsid w:val="007B5C88"/>
    <w:rsid w:val="007B76A7"/>
    <w:rsid w:val="007C30DA"/>
    <w:rsid w:val="007C3EFB"/>
    <w:rsid w:val="007C52BB"/>
    <w:rsid w:val="007D0B00"/>
    <w:rsid w:val="007D2E8B"/>
    <w:rsid w:val="007E1DC4"/>
    <w:rsid w:val="007E23D3"/>
    <w:rsid w:val="007E4CC7"/>
    <w:rsid w:val="007E5139"/>
    <w:rsid w:val="007E58BC"/>
    <w:rsid w:val="007E5C52"/>
    <w:rsid w:val="007E5D23"/>
    <w:rsid w:val="007F327D"/>
    <w:rsid w:val="007F39AD"/>
    <w:rsid w:val="008016A1"/>
    <w:rsid w:val="00801BA8"/>
    <w:rsid w:val="0080317D"/>
    <w:rsid w:val="008033D0"/>
    <w:rsid w:val="00806A48"/>
    <w:rsid w:val="0080754B"/>
    <w:rsid w:val="00807954"/>
    <w:rsid w:val="00810AEA"/>
    <w:rsid w:val="00811DC2"/>
    <w:rsid w:val="00813AE5"/>
    <w:rsid w:val="008215F6"/>
    <w:rsid w:val="008264F4"/>
    <w:rsid w:val="00832605"/>
    <w:rsid w:val="00833742"/>
    <w:rsid w:val="008341B1"/>
    <w:rsid w:val="00837E0F"/>
    <w:rsid w:val="008400B0"/>
    <w:rsid w:val="00840E57"/>
    <w:rsid w:val="00842E09"/>
    <w:rsid w:val="00845522"/>
    <w:rsid w:val="00851C95"/>
    <w:rsid w:val="00856387"/>
    <w:rsid w:val="00862163"/>
    <w:rsid w:val="00863493"/>
    <w:rsid w:val="00866E67"/>
    <w:rsid w:val="008709FB"/>
    <w:rsid w:val="0087175A"/>
    <w:rsid w:val="008733B6"/>
    <w:rsid w:val="00873E6E"/>
    <w:rsid w:val="00882C3F"/>
    <w:rsid w:val="00885238"/>
    <w:rsid w:val="00886450"/>
    <w:rsid w:val="00886789"/>
    <w:rsid w:val="00886898"/>
    <w:rsid w:val="00887FE2"/>
    <w:rsid w:val="00892C55"/>
    <w:rsid w:val="0089331D"/>
    <w:rsid w:val="0089428C"/>
    <w:rsid w:val="00896D58"/>
    <w:rsid w:val="00897E5C"/>
    <w:rsid w:val="008A16D9"/>
    <w:rsid w:val="008A7FD8"/>
    <w:rsid w:val="008B0813"/>
    <w:rsid w:val="008B5389"/>
    <w:rsid w:val="008B57B8"/>
    <w:rsid w:val="008C094A"/>
    <w:rsid w:val="008C2D4C"/>
    <w:rsid w:val="008C360F"/>
    <w:rsid w:val="008C64C8"/>
    <w:rsid w:val="008D3F18"/>
    <w:rsid w:val="008D4C40"/>
    <w:rsid w:val="008D5F06"/>
    <w:rsid w:val="008D664C"/>
    <w:rsid w:val="008D6A10"/>
    <w:rsid w:val="008E21C9"/>
    <w:rsid w:val="008E36B2"/>
    <w:rsid w:val="008E381F"/>
    <w:rsid w:val="008E4065"/>
    <w:rsid w:val="008E4D8B"/>
    <w:rsid w:val="008E6D59"/>
    <w:rsid w:val="008E7390"/>
    <w:rsid w:val="008E7A0F"/>
    <w:rsid w:val="008E7B0C"/>
    <w:rsid w:val="008F3A9D"/>
    <w:rsid w:val="008F7BEF"/>
    <w:rsid w:val="0090041E"/>
    <w:rsid w:val="00903BBE"/>
    <w:rsid w:val="009067C5"/>
    <w:rsid w:val="009072F9"/>
    <w:rsid w:val="00910976"/>
    <w:rsid w:val="00911358"/>
    <w:rsid w:val="00916222"/>
    <w:rsid w:val="009173BB"/>
    <w:rsid w:val="009223B6"/>
    <w:rsid w:val="009300A5"/>
    <w:rsid w:val="009335F7"/>
    <w:rsid w:val="00933AE7"/>
    <w:rsid w:val="009354D2"/>
    <w:rsid w:val="00940043"/>
    <w:rsid w:val="00944178"/>
    <w:rsid w:val="00944272"/>
    <w:rsid w:val="00947D2B"/>
    <w:rsid w:val="00952ED1"/>
    <w:rsid w:val="00952FE3"/>
    <w:rsid w:val="00956E84"/>
    <w:rsid w:val="009633DD"/>
    <w:rsid w:val="00966439"/>
    <w:rsid w:val="00967C07"/>
    <w:rsid w:val="00970EDA"/>
    <w:rsid w:val="009726E2"/>
    <w:rsid w:val="00975F1B"/>
    <w:rsid w:val="00977A1C"/>
    <w:rsid w:val="00984DB9"/>
    <w:rsid w:val="009859BD"/>
    <w:rsid w:val="00990BA4"/>
    <w:rsid w:val="00992DDC"/>
    <w:rsid w:val="009960CA"/>
    <w:rsid w:val="00996305"/>
    <w:rsid w:val="00997AD5"/>
    <w:rsid w:val="009A2B65"/>
    <w:rsid w:val="009A7B5B"/>
    <w:rsid w:val="009B0398"/>
    <w:rsid w:val="009B08F8"/>
    <w:rsid w:val="009B0AB6"/>
    <w:rsid w:val="009B40F1"/>
    <w:rsid w:val="009C08AD"/>
    <w:rsid w:val="009C1647"/>
    <w:rsid w:val="009C2B6B"/>
    <w:rsid w:val="009C3709"/>
    <w:rsid w:val="009C3776"/>
    <w:rsid w:val="009D3876"/>
    <w:rsid w:val="009D4203"/>
    <w:rsid w:val="009D5FFB"/>
    <w:rsid w:val="009D7727"/>
    <w:rsid w:val="009E5411"/>
    <w:rsid w:val="009E5A38"/>
    <w:rsid w:val="009F793A"/>
    <w:rsid w:val="00A00318"/>
    <w:rsid w:val="00A07D55"/>
    <w:rsid w:val="00A10F0C"/>
    <w:rsid w:val="00A129BE"/>
    <w:rsid w:val="00A13842"/>
    <w:rsid w:val="00A16370"/>
    <w:rsid w:val="00A1777F"/>
    <w:rsid w:val="00A22CC4"/>
    <w:rsid w:val="00A259D0"/>
    <w:rsid w:val="00A25A56"/>
    <w:rsid w:val="00A324C5"/>
    <w:rsid w:val="00A507EF"/>
    <w:rsid w:val="00A53469"/>
    <w:rsid w:val="00A56D78"/>
    <w:rsid w:val="00A56E53"/>
    <w:rsid w:val="00A6130D"/>
    <w:rsid w:val="00A6228A"/>
    <w:rsid w:val="00A67F11"/>
    <w:rsid w:val="00A737C4"/>
    <w:rsid w:val="00A75502"/>
    <w:rsid w:val="00A809A6"/>
    <w:rsid w:val="00A82449"/>
    <w:rsid w:val="00A84463"/>
    <w:rsid w:val="00A85573"/>
    <w:rsid w:val="00A90F2F"/>
    <w:rsid w:val="00A91091"/>
    <w:rsid w:val="00A936A0"/>
    <w:rsid w:val="00A96D27"/>
    <w:rsid w:val="00A97B18"/>
    <w:rsid w:val="00AA19D2"/>
    <w:rsid w:val="00AA21A4"/>
    <w:rsid w:val="00AA26E5"/>
    <w:rsid w:val="00AA2CB5"/>
    <w:rsid w:val="00AA3AAA"/>
    <w:rsid w:val="00AA503F"/>
    <w:rsid w:val="00AA5586"/>
    <w:rsid w:val="00AA7D23"/>
    <w:rsid w:val="00AB22D6"/>
    <w:rsid w:val="00AB2771"/>
    <w:rsid w:val="00AB6EBE"/>
    <w:rsid w:val="00AB7EB1"/>
    <w:rsid w:val="00AC56B6"/>
    <w:rsid w:val="00AC5E68"/>
    <w:rsid w:val="00AC761C"/>
    <w:rsid w:val="00AD0782"/>
    <w:rsid w:val="00AD12D0"/>
    <w:rsid w:val="00AD4A3B"/>
    <w:rsid w:val="00AD5E3B"/>
    <w:rsid w:val="00AE0924"/>
    <w:rsid w:val="00AE5281"/>
    <w:rsid w:val="00AE79BC"/>
    <w:rsid w:val="00AF0802"/>
    <w:rsid w:val="00AF681D"/>
    <w:rsid w:val="00B00DD7"/>
    <w:rsid w:val="00B019A9"/>
    <w:rsid w:val="00B02D6F"/>
    <w:rsid w:val="00B06B70"/>
    <w:rsid w:val="00B072F6"/>
    <w:rsid w:val="00B07BDC"/>
    <w:rsid w:val="00B11194"/>
    <w:rsid w:val="00B11D77"/>
    <w:rsid w:val="00B231A0"/>
    <w:rsid w:val="00B23D00"/>
    <w:rsid w:val="00B27B2C"/>
    <w:rsid w:val="00B3041B"/>
    <w:rsid w:val="00B32F6B"/>
    <w:rsid w:val="00B3306F"/>
    <w:rsid w:val="00B33F06"/>
    <w:rsid w:val="00B37F5F"/>
    <w:rsid w:val="00B43584"/>
    <w:rsid w:val="00B43BC6"/>
    <w:rsid w:val="00B45161"/>
    <w:rsid w:val="00B50910"/>
    <w:rsid w:val="00B50D23"/>
    <w:rsid w:val="00B528D8"/>
    <w:rsid w:val="00B560FF"/>
    <w:rsid w:val="00B62C3F"/>
    <w:rsid w:val="00B6379C"/>
    <w:rsid w:val="00B63E31"/>
    <w:rsid w:val="00B677E4"/>
    <w:rsid w:val="00B710A7"/>
    <w:rsid w:val="00B724D4"/>
    <w:rsid w:val="00B73A9B"/>
    <w:rsid w:val="00B73C2A"/>
    <w:rsid w:val="00B7434E"/>
    <w:rsid w:val="00B7695C"/>
    <w:rsid w:val="00B778BF"/>
    <w:rsid w:val="00B82FCB"/>
    <w:rsid w:val="00B86354"/>
    <w:rsid w:val="00B90DC3"/>
    <w:rsid w:val="00B9173C"/>
    <w:rsid w:val="00B925B3"/>
    <w:rsid w:val="00B93726"/>
    <w:rsid w:val="00B93C18"/>
    <w:rsid w:val="00B946A9"/>
    <w:rsid w:val="00B94AA4"/>
    <w:rsid w:val="00B94CD0"/>
    <w:rsid w:val="00BA018B"/>
    <w:rsid w:val="00BA0BD2"/>
    <w:rsid w:val="00BA12CC"/>
    <w:rsid w:val="00BA209E"/>
    <w:rsid w:val="00BA65BF"/>
    <w:rsid w:val="00BA65FA"/>
    <w:rsid w:val="00BB44CF"/>
    <w:rsid w:val="00BB6895"/>
    <w:rsid w:val="00BC0165"/>
    <w:rsid w:val="00BC0F4C"/>
    <w:rsid w:val="00BC1953"/>
    <w:rsid w:val="00BC424F"/>
    <w:rsid w:val="00BD1421"/>
    <w:rsid w:val="00BD2E27"/>
    <w:rsid w:val="00BD57B1"/>
    <w:rsid w:val="00BE0FBB"/>
    <w:rsid w:val="00BE4D71"/>
    <w:rsid w:val="00BE5004"/>
    <w:rsid w:val="00BF15A2"/>
    <w:rsid w:val="00BF177A"/>
    <w:rsid w:val="00BF281B"/>
    <w:rsid w:val="00C0319E"/>
    <w:rsid w:val="00C03661"/>
    <w:rsid w:val="00C06D30"/>
    <w:rsid w:val="00C074B2"/>
    <w:rsid w:val="00C123A1"/>
    <w:rsid w:val="00C1342C"/>
    <w:rsid w:val="00C1696B"/>
    <w:rsid w:val="00C17324"/>
    <w:rsid w:val="00C207BF"/>
    <w:rsid w:val="00C211D8"/>
    <w:rsid w:val="00C22CFD"/>
    <w:rsid w:val="00C23AA2"/>
    <w:rsid w:val="00C25F32"/>
    <w:rsid w:val="00C2790D"/>
    <w:rsid w:val="00C311CA"/>
    <w:rsid w:val="00C32FDE"/>
    <w:rsid w:val="00C4049E"/>
    <w:rsid w:val="00C43775"/>
    <w:rsid w:val="00C444F7"/>
    <w:rsid w:val="00C44955"/>
    <w:rsid w:val="00C45B6F"/>
    <w:rsid w:val="00C46866"/>
    <w:rsid w:val="00C47376"/>
    <w:rsid w:val="00C474EB"/>
    <w:rsid w:val="00C516D8"/>
    <w:rsid w:val="00C52970"/>
    <w:rsid w:val="00C62740"/>
    <w:rsid w:val="00C63BF7"/>
    <w:rsid w:val="00C71ABE"/>
    <w:rsid w:val="00C810A0"/>
    <w:rsid w:val="00C82A55"/>
    <w:rsid w:val="00C832E2"/>
    <w:rsid w:val="00C84D97"/>
    <w:rsid w:val="00C86B96"/>
    <w:rsid w:val="00C900A5"/>
    <w:rsid w:val="00C912FD"/>
    <w:rsid w:val="00C93BD8"/>
    <w:rsid w:val="00C94DD9"/>
    <w:rsid w:val="00C9726E"/>
    <w:rsid w:val="00C97BD9"/>
    <w:rsid w:val="00CB2A23"/>
    <w:rsid w:val="00CB5B35"/>
    <w:rsid w:val="00CB7C99"/>
    <w:rsid w:val="00CC0CA8"/>
    <w:rsid w:val="00CC437F"/>
    <w:rsid w:val="00CC4D98"/>
    <w:rsid w:val="00CD0F0F"/>
    <w:rsid w:val="00CD0FD8"/>
    <w:rsid w:val="00CD3BF9"/>
    <w:rsid w:val="00CD4096"/>
    <w:rsid w:val="00CD53A1"/>
    <w:rsid w:val="00CD7192"/>
    <w:rsid w:val="00CD726A"/>
    <w:rsid w:val="00CE0E67"/>
    <w:rsid w:val="00CE287F"/>
    <w:rsid w:val="00CE6609"/>
    <w:rsid w:val="00CF3E41"/>
    <w:rsid w:val="00CF442F"/>
    <w:rsid w:val="00D01A6B"/>
    <w:rsid w:val="00D0399F"/>
    <w:rsid w:val="00D04664"/>
    <w:rsid w:val="00D06AE5"/>
    <w:rsid w:val="00D07D2B"/>
    <w:rsid w:val="00D07E57"/>
    <w:rsid w:val="00D10445"/>
    <w:rsid w:val="00D106F0"/>
    <w:rsid w:val="00D10EBA"/>
    <w:rsid w:val="00D121A5"/>
    <w:rsid w:val="00D14C9A"/>
    <w:rsid w:val="00D1644F"/>
    <w:rsid w:val="00D16915"/>
    <w:rsid w:val="00D204EF"/>
    <w:rsid w:val="00D21BCA"/>
    <w:rsid w:val="00D21BEA"/>
    <w:rsid w:val="00D22987"/>
    <w:rsid w:val="00D22ADB"/>
    <w:rsid w:val="00D22C5A"/>
    <w:rsid w:val="00D22C8C"/>
    <w:rsid w:val="00D22F45"/>
    <w:rsid w:val="00D25923"/>
    <w:rsid w:val="00D25A35"/>
    <w:rsid w:val="00D266F9"/>
    <w:rsid w:val="00D304A9"/>
    <w:rsid w:val="00D30C5A"/>
    <w:rsid w:val="00D3253C"/>
    <w:rsid w:val="00D341AF"/>
    <w:rsid w:val="00D34C86"/>
    <w:rsid w:val="00D37AA1"/>
    <w:rsid w:val="00D40B11"/>
    <w:rsid w:val="00D453C1"/>
    <w:rsid w:val="00D461EC"/>
    <w:rsid w:val="00D478F5"/>
    <w:rsid w:val="00D47A47"/>
    <w:rsid w:val="00D511C1"/>
    <w:rsid w:val="00D538FB"/>
    <w:rsid w:val="00D56B28"/>
    <w:rsid w:val="00D573D6"/>
    <w:rsid w:val="00D612BA"/>
    <w:rsid w:val="00D62752"/>
    <w:rsid w:val="00D6306E"/>
    <w:rsid w:val="00D64B48"/>
    <w:rsid w:val="00D672CF"/>
    <w:rsid w:val="00D67B54"/>
    <w:rsid w:val="00D67D6D"/>
    <w:rsid w:val="00D71457"/>
    <w:rsid w:val="00D80483"/>
    <w:rsid w:val="00D826CE"/>
    <w:rsid w:val="00D82EF8"/>
    <w:rsid w:val="00D87BE3"/>
    <w:rsid w:val="00D90448"/>
    <w:rsid w:val="00D9055B"/>
    <w:rsid w:val="00D91096"/>
    <w:rsid w:val="00D92053"/>
    <w:rsid w:val="00D976E6"/>
    <w:rsid w:val="00DA0DED"/>
    <w:rsid w:val="00DA1B2A"/>
    <w:rsid w:val="00DA2CF9"/>
    <w:rsid w:val="00DA2D99"/>
    <w:rsid w:val="00DA3914"/>
    <w:rsid w:val="00DA717D"/>
    <w:rsid w:val="00DB4FEA"/>
    <w:rsid w:val="00DB559C"/>
    <w:rsid w:val="00DB58D3"/>
    <w:rsid w:val="00DB6275"/>
    <w:rsid w:val="00DB62E1"/>
    <w:rsid w:val="00DB6304"/>
    <w:rsid w:val="00DB6A8D"/>
    <w:rsid w:val="00DB74A9"/>
    <w:rsid w:val="00DB7ABD"/>
    <w:rsid w:val="00DC471E"/>
    <w:rsid w:val="00DD04EF"/>
    <w:rsid w:val="00DD3674"/>
    <w:rsid w:val="00DE05F3"/>
    <w:rsid w:val="00DE1716"/>
    <w:rsid w:val="00DE18C2"/>
    <w:rsid w:val="00DE3426"/>
    <w:rsid w:val="00DE43FF"/>
    <w:rsid w:val="00DE6A9C"/>
    <w:rsid w:val="00DE6C53"/>
    <w:rsid w:val="00DF228E"/>
    <w:rsid w:val="00DF4FA1"/>
    <w:rsid w:val="00DF65DE"/>
    <w:rsid w:val="00E02238"/>
    <w:rsid w:val="00E0396C"/>
    <w:rsid w:val="00E11F63"/>
    <w:rsid w:val="00E131B3"/>
    <w:rsid w:val="00E132FC"/>
    <w:rsid w:val="00E144B6"/>
    <w:rsid w:val="00E14EC5"/>
    <w:rsid w:val="00E15721"/>
    <w:rsid w:val="00E15B5B"/>
    <w:rsid w:val="00E17494"/>
    <w:rsid w:val="00E22473"/>
    <w:rsid w:val="00E249E2"/>
    <w:rsid w:val="00E26C38"/>
    <w:rsid w:val="00E27B9F"/>
    <w:rsid w:val="00E30CCD"/>
    <w:rsid w:val="00E3396A"/>
    <w:rsid w:val="00E34F7B"/>
    <w:rsid w:val="00E3603B"/>
    <w:rsid w:val="00E3616C"/>
    <w:rsid w:val="00E365F4"/>
    <w:rsid w:val="00E370E5"/>
    <w:rsid w:val="00E402A4"/>
    <w:rsid w:val="00E44A14"/>
    <w:rsid w:val="00E44CB1"/>
    <w:rsid w:val="00E45CBE"/>
    <w:rsid w:val="00E50133"/>
    <w:rsid w:val="00E571E1"/>
    <w:rsid w:val="00E61323"/>
    <w:rsid w:val="00E620FD"/>
    <w:rsid w:val="00E637A0"/>
    <w:rsid w:val="00E663D8"/>
    <w:rsid w:val="00E66CD1"/>
    <w:rsid w:val="00E714D7"/>
    <w:rsid w:val="00E74897"/>
    <w:rsid w:val="00E74BD9"/>
    <w:rsid w:val="00E75200"/>
    <w:rsid w:val="00E75412"/>
    <w:rsid w:val="00E76146"/>
    <w:rsid w:val="00E90FAE"/>
    <w:rsid w:val="00E91F67"/>
    <w:rsid w:val="00E941F8"/>
    <w:rsid w:val="00E96239"/>
    <w:rsid w:val="00E97793"/>
    <w:rsid w:val="00EA10D7"/>
    <w:rsid w:val="00EA1B94"/>
    <w:rsid w:val="00EA3083"/>
    <w:rsid w:val="00EA4F7B"/>
    <w:rsid w:val="00EA5F60"/>
    <w:rsid w:val="00EA75AD"/>
    <w:rsid w:val="00EB2BFC"/>
    <w:rsid w:val="00EB3D58"/>
    <w:rsid w:val="00EB5F2E"/>
    <w:rsid w:val="00EC07EF"/>
    <w:rsid w:val="00EC1CD5"/>
    <w:rsid w:val="00EC315F"/>
    <w:rsid w:val="00EC458A"/>
    <w:rsid w:val="00EC4EE4"/>
    <w:rsid w:val="00ED3220"/>
    <w:rsid w:val="00ED3FC4"/>
    <w:rsid w:val="00ED4AE7"/>
    <w:rsid w:val="00ED5D97"/>
    <w:rsid w:val="00EE5816"/>
    <w:rsid w:val="00EF4655"/>
    <w:rsid w:val="00EF7269"/>
    <w:rsid w:val="00EF7B91"/>
    <w:rsid w:val="00EF7E34"/>
    <w:rsid w:val="00F01BA2"/>
    <w:rsid w:val="00F01F4D"/>
    <w:rsid w:val="00F03218"/>
    <w:rsid w:val="00F0340D"/>
    <w:rsid w:val="00F111FF"/>
    <w:rsid w:val="00F135D6"/>
    <w:rsid w:val="00F174E2"/>
    <w:rsid w:val="00F2085E"/>
    <w:rsid w:val="00F21223"/>
    <w:rsid w:val="00F2159D"/>
    <w:rsid w:val="00F23778"/>
    <w:rsid w:val="00F240F7"/>
    <w:rsid w:val="00F24B46"/>
    <w:rsid w:val="00F25CDE"/>
    <w:rsid w:val="00F25F22"/>
    <w:rsid w:val="00F2623D"/>
    <w:rsid w:val="00F416C5"/>
    <w:rsid w:val="00F468D4"/>
    <w:rsid w:val="00F54A28"/>
    <w:rsid w:val="00F557EB"/>
    <w:rsid w:val="00F55FBD"/>
    <w:rsid w:val="00F56779"/>
    <w:rsid w:val="00F57DB3"/>
    <w:rsid w:val="00F604F2"/>
    <w:rsid w:val="00F61E7B"/>
    <w:rsid w:val="00F61EC1"/>
    <w:rsid w:val="00F62C40"/>
    <w:rsid w:val="00F635C6"/>
    <w:rsid w:val="00F6512C"/>
    <w:rsid w:val="00F66772"/>
    <w:rsid w:val="00F67612"/>
    <w:rsid w:val="00F70FB3"/>
    <w:rsid w:val="00F71273"/>
    <w:rsid w:val="00F72486"/>
    <w:rsid w:val="00F732A5"/>
    <w:rsid w:val="00F74A74"/>
    <w:rsid w:val="00F76587"/>
    <w:rsid w:val="00F77155"/>
    <w:rsid w:val="00F81245"/>
    <w:rsid w:val="00FA0565"/>
    <w:rsid w:val="00FA0BE2"/>
    <w:rsid w:val="00FA149B"/>
    <w:rsid w:val="00FA1B2E"/>
    <w:rsid w:val="00FA2E42"/>
    <w:rsid w:val="00FA48B6"/>
    <w:rsid w:val="00FA645C"/>
    <w:rsid w:val="00FA6C00"/>
    <w:rsid w:val="00FA7B2A"/>
    <w:rsid w:val="00FB33CF"/>
    <w:rsid w:val="00FB75C3"/>
    <w:rsid w:val="00FC0DBD"/>
    <w:rsid w:val="00FC315D"/>
    <w:rsid w:val="00FC47DB"/>
    <w:rsid w:val="00FC525E"/>
    <w:rsid w:val="00FC648B"/>
    <w:rsid w:val="00FD0A6D"/>
    <w:rsid w:val="00FD4270"/>
    <w:rsid w:val="00FD7EF8"/>
    <w:rsid w:val="00FE5974"/>
    <w:rsid w:val="00FE5BB5"/>
    <w:rsid w:val="00FE6EEF"/>
    <w:rsid w:val="00FE7915"/>
    <w:rsid w:val="00FF1109"/>
    <w:rsid w:val="00FF2483"/>
    <w:rsid w:val="00FF2D46"/>
    <w:rsid w:val="00FF31CD"/>
    <w:rsid w:val="00FF32FE"/>
    <w:rsid w:val="00FF3354"/>
    <w:rsid w:val="00FF5C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nhideWhenUsed/>
    <w:rsid w:val="00206CF6"/>
    <w:pPr>
      <w:tabs>
        <w:tab w:val="center" w:pos="4536"/>
        <w:tab w:val="right" w:pos="9072"/>
      </w:tabs>
    </w:pPr>
  </w:style>
  <w:style w:type="character" w:customStyle="1" w:styleId="En-tteCar">
    <w:name w:val="En-tête Car"/>
    <w:basedOn w:val="Policepardfaut"/>
    <w:link w:val="En-tte"/>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qFormat/>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eastAsia="fr-FR"/>
    </w:rPr>
  </w:style>
  <w:style w:type="paragraph" w:styleId="NormalWeb">
    <w:name w:val="Normal (Web)"/>
    <w:basedOn w:val="Normal"/>
    <w:uiPriority w:val="99"/>
    <w:rsid w:val="00360713"/>
    <w:pPr>
      <w:spacing w:before="100" w:beforeAutospacing="1" w:after="119"/>
    </w:pPr>
    <w:rPr>
      <w:color w:val="000000"/>
      <w:lang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eastAsia="fr-FR"/>
    </w:rPr>
  </w:style>
  <w:style w:type="paragraph" w:customStyle="1" w:styleId="Paragraphedeliste1">
    <w:name w:val="Paragraphe de liste1"/>
    <w:basedOn w:val="Normal"/>
    <w:rsid w:val="000E3F92"/>
    <w:pPr>
      <w:ind w:left="720"/>
      <w:contextualSpacing/>
    </w:pPr>
    <w:rPr>
      <w:lang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PARAGRAPHESTANDARD">
    <w:name w:val="PARAGRAPHE STANDARD"/>
    <w:link w:val="PARAGRAPHESTANDARDCar"/>
    <w:rsid w:val="0034657A"/>
    <w:pPr>
      <w:spacing w:before="240" w:after="0" w:line="240" w:lineRule="exact"/>
      <w:ind w:firstLine="1134"/>
      <w:jc w:val="both"/>
    </w:pPr>
    <w:rPr>
      <w:rFonts w:ascii="Times" w:eastAsia="Times New Roman" w:hAnsi="Times" w:cs="Times"/>
      <w:sz w:val="24"/>
      <w:szCs w:val="24"/>
      <w:lang w:eastAsia="fr-FR"/>
    </w:rPr>
  </w:style>
  <w:style w:type="character" w:customStyle="1" w:styleId="PARAGRAPHESTANDARDCar">
    <w:name w:val="PARAGRAPHE STANDARD Car"/>
    <w:link w:val="PARAGRAPHESTANDARD"/>
    <w:locked/>
    <w:rsid w:val="0034657A"/>
    <w:rPr>
      <w:rFonts w:ascii="Times" w:eastAsia="Times New Roman" w:hAnsi="Times" w:cs="Times"/>
      <w:sz w:val="24"/>
      <w:szCs w:val="24"/>
      <w:lang w:eastAsia="fr-FR"/>
    </w:rPr>
  </w:style>
  <w:style w:type="paragraph" w:customStyle="1" w:styleId="Default">
    <w:name w:val="Default"/>
    <w:rsid w:val="007343CB"/>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D2592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25923"/>
    <w:rPr>
      <w:rFonts w:ascii="Times New Roman" w:eastAsia="Times New Roman" w:hAnsi="Times New Roman" w:cs="Times New Roman"/>
      <w:sz w:val="24"/>
      <w:szCs w:val="24"/>
      <w:lang w:val="es-ES" w:eastAsia="es-ES"/>
    </w:rPr>
  </w:style>
  <w:style w:type="character" w:styleId="CitationHTML">
    <w:name w:val="HTML Cite"/>
    <w:basedOn w:val="Policepardfaut"/>
    <w:uiPriority w:val="99"/>
    <w:unhideWhenUsed/>
    <w:rsid w:val="00D25923"/>
    <w:rPr>
      <w:i/>
      <w:iCs/>
    </w:rPr>
  </w:style>
  <w:style w:type="paragraph" w:customStyle="1" w:styleId="Standard">
    <w:name w:val="Standard"/>
    <w:rsid w:val="00E44A14"/>
    <w:pPr>
      <w:suppressAutoHyphens/>
      <w:spacing w:after="200" w:line="276" w:lineRule="auto"/>
    </w:pPr>
    <w:rPr>
      <w:rFonts w:ascii="Calibri" w:eastAsia="SimSun" w:hAnsi="Calibri" w:cs="Calibri"/>
    </w:rPr>
  </w:style>
  <w:style w:type="paragraph" w:customStyle="1" w:styleId="-lettretextegeda0">
    <w:name w:val="-lettretextegeda"/>
    <w:basedOn w:val="Normal"/>
    <w:rsid w:val="005A3ED3"/>
    <w:pPr>
      <w:spacing w:before="100" w:beforeAutospacing="1" w:after="100" w:afterAutospacing="1"/>
    </w:pPr>
    <w:rPr>
      <w:rFonts w:eastAsiaTheme="minorHAnsi"/>
      <w:color w:val="000000"/>
      <w:lang w:eastAsia="fr-FR"/>
    </w:rPr>
  </w:style>
  <w:style w:type="character" w:customStyle="1" w:styleId="st">
    <w:name w:val="st"/>
    <w:basedOn w:val="Policepardfaut"/>
    <w:rsid w:val="00C1696B"/>
  </w:style>
  <w:style w:type="character" w:customStyle="1" w:styleId="sg-chapeau">
    <w:name w:val="sg-chapeau"/>
    <w:basedOn w:val="Policepardfaut"/>
    <w:rsid w:val="00C2790D"/>
  </w:style>
  <w:style w:type="character" w:customStyle="1" w:styleId="spipsurligne">
    <w:name w:val="spip_surligne"/>
    <w:basedOn w:val="Policepardfaut"/>
    <w:rsid w:val="00C2790D"/>
  </w:style>
  <w:style w:type="character" w:styleId="Accentuation">
    <w:name w:val="Emphasis"/>
    <w:basedOn w:val="Policepardfaut"/>
    <w:qFormat/>
    <w:rsid w:val="00232248"/>
    <w:rPr>
      <w:i/>
      <w:iCs/>
    </w:rPr>
  </w:style>
  <w:style w:type="paragraph" w:customStyle="1" w:styleId="-SignataireNomGEDA">
    <w:name w:val="- Signataire:Nom            GEDA"/>
    <w:uiPriority w:val="99"/>
    <w:rsid w:val="00F21223"/>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 w:type="paragraph" w:customStyle="1" w:styleId="-SignatairePRNomGEDA">
    <w:name w:val="- Signataire:PR Nom      GEDA"/>
    <w:uiPriority w:val="99"/>
    <w:rsid w:val="00F21223"/>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fr-FR"/>
    </w:rPr>
  </w:style>
  <w:style w:type="character" w:customStyle="1" w:styleId="apple-converted-space">
    <w:name w:val="apple-converted-space"/>
    <w:basedOn w:val="Policepardfaut"/>
    <w:rsid w:val="00A32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nhideWhenUsed/>
    <w:rsid w:val="00206CF6"/>
    <w:pPr>
      <w:tabs>
        <w:tab w:val="center" w:pos="4536"/>
        <w:tab w:val="right" w:pos="9072"/>
      </w:tabs>
    </w:pPr>
  </w:style>
  <w:style w:type="character" w:customStyle="1" w:styleId="En-tteCar">
    <w:name w:val="En-tête Car"/>
    <w:basedOn w:val="Policepardfaut"/>
    <w:link w:val="En-tte"/>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qFormat/>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eastAsia="fr-FR"/>
    </w:rPr>
  </w:style>
  <w:style w:type="paragraph" w:styleId="NormalWeb">
    <w:name w:val="Normal (Web)"/>
    <w:basedOn w:val="Normal"/>
    <w:uiPriority w:val="99"/>
    <w:rsid w:val="00360713"/>
    <w:pPr>
      <w:spacing w:before="100" w:beforeAutospacing="1" w:after="119"/>
    </w:pPr>
    <w:rPr>
      <w:color w:val="000000"/>
      <w:lang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eastAsia="fr-FR"/>
    </w:rPr>
  </w:style>
  <w:style w:type="paragraph" w:customStyle="1" w:styleId="Paragraphedeliste1">
    <w:name w:val="Paragraphe de liste1"/>
    <w:basedOn w:val="Normal"/>
    <w:rsid w:val="000E3F92"/>
    <w:pPr>
      <w:ind w:left="720"/>
      <w:contextualSpacing/>
    </w:pPr>
    <w:rPr>
      <w:lang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PARAGRAPHESTANDARD">
    <w:name w:val="PARAGRAPHE STANDARD"/>
    <w:link w:val="PARAGRAPHESTANDARDCar"/>
    <w:rsid w:val="0034657A"/>
    <w:pPr>
      <w:spacing w:before="240" w:after="0" w:line="240" w:lineRule="exact"/>
      <w:ind w:firstLine="1134"/>
      <w:jc w:val="both"/>
    </w:pPr>
    <w:rPr>
      <w:rFonts w:ascii="Times" w:eastAsia="Times New Roman" w:hAnsi="Times" w:cs="Times"/>
      <w:sz w:val="24"/>
      <w:szCs w:val="24"/>
      <w:lang w:eastAsia="fr-FR"/>
    </w:rPr>
  </w:style>
  <w:style w:type="character" w:customStyle="1" w:styleId="PARAGRAPHESTANDARDCar">
    <w:name w:val="PARAGRAPHE STANDARD Car"/>
    <w:link w:val="PARAGRAPHESTANDARD"/>
    <w:locked/>
    <w:rsid w:val="0034657A"/>
    <w:rPr>
      <w:rFonts w:ascii="Times" w:eastAsia="Times New Roman" w:hAnsi="Times" w:cs="Times"/>
      <w:sz w:val="24"/>
      <w:szCs w:val="24"/>
      <w:lang w:eastAsia="fr-FR"/>
    </w:rPr>
  </w:style>
  <w:style w:type="paragraph" w:customStyle="1" w:styleId="Default">
    <w:name w:val="Default"/>
    <w:rsid w:val="007343CB"/>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D2592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25923"/>
    <w:rPr>
      <w:rFonts w:ascii="Times New Roman" w:eastAsia="Times New Roman" w:hAnsi="Times New Roman" w:cs="Times New Roman"/>
      <w:sz w:val="24"/>
      <w:szCs w:val="24"/>
      <w:lang w:val="es-ES" w:eastAsia="es-ES"/>
    </w:rPr>
  </w:style>
  <w:style w:type="character" w:styleId="CitationHTML">
    <w:name w:val="HTML Cite"/>
    <w:basedOn w:val="Policepardfaut"/>
    <w:uiPriority w:val="99"/>
    <w:unhideWhenUsed/>
    <w:rsid w:val="00D25923"/>
    <w:rPr>
      <w:i/>
      <w:iCs/>
    </w:rPr>
  </w:style>
  <w:style w:type="paragraph" w:customStyle="1" w:styleId="Standard">
    <w:name w:val="Standard"/>
    <w:rsid w:val="00E44A14"/>
    <w:pPr>
      <w:suppressAutoHyphens/>
      <w:spacing w:after="200" w:line="276" w:lineRule="auto"/>
    </w:pPr>
    <w:rPr>
      <w:rFonts w:ascii="Calibri" w:eastAsia="SimSun" w:hAnsi="Calibri" w:cs="Calibri"/>
    </w:rPr>
  </w:style>
  <w:style w:type="paragraph" w:customStyle="1" w:styleId="-lettretextegeda0">
    <w:name w:val="-lettretextegeda"/>
    <w:basedOn w:val="Normal"/>
    <w:rsid w:val="005A3ED3"/>
    <w:pPr>
      <w:spacing w:before="100" w:beforeAutospacing="1" w:after="100" w:afterAutospacing="1"/>
    </w:pPr>
    <w:rPr>
      <w:rFonts w:eastAsiaTheme="minorHAnsi"/>
      <w:color w:val="000000"/>
      <w:lang w:eastAsia="fr-FR"/>
    </w:rPr>
  </w:style>
  <w:style w:type="character" w:customStyle="1" w:styleId="st">
    <w:name w:val="st"/>
    <w:basedOn w:val="Policepardfaut"/>
    <w:rsid w:val="00C1696B"/>
  </w:style>
  <w:style w:type="character" w:customStyle="1" w:styleId="sg-chapeau">
    <w:name w:val="sg-chapeau"/>
    <w:basedOn w:val="Policepardfaut"/>
    <w:rsid w:val="00C2790D"/>
  </w:style>
  <w:style w:type="character" w:customStyle="1" w:styleId="spipsurligne">
    <w:name w:val="spip_surligne"/>
    <w:basedOn w:val="Policepardfaut"/>
    <w:rsid w:val="00C2790D"/>
  </w:style>
  <w:style w:type="character" w:styleId="Accentuation">
    <w:name w:val="Emphasis"/>
    <w:basedOn w:val="Policepardfaut"/>
    <w:qFormat/>
    <w:rsid w:val="00232248"/>
    <w:rPr>
      <w:i/>
      <w:iCs/>
    </w:rPr>
  </w:style>
  <w:style w:type="paragraph" w:customStyle="1" w:styleId="-SignataireNomGEDA">
    <w:name w:val="- Signataire:Nom            GEDA"/>
    <w:uiPriority w:val="99"/>
    <w:rsid w:val="00F21223"/>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 w:type="paragraph" w:customStyle="1" w:styleId="-SignatairePRNomGEDA">
    <w:name w:val="- Signataire:PR Nom      GEDA"/>
    <w:uiPriority w:val="99"/>
    <w:rsid w:val="00F21223"/>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fr-FR"/>
    </w:rPr>
  </w:style>
  <w:style w:type="character" w:customStyle="1" w:styleId="apple-converted-space">
    <w:name w:val="apple-converted-space"/>
    <w:basedOn w:val="Policepardfaut"/>
    <w:rsid w:val="00A3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2703">
      <w:bodyDiv w:val="1"/>
      <w:marLeft w:val="0"/>
      <w:marRight w:val="0"/>
      <w:marTop w:val="0"/>
      <w:marBottom w:val="0"/>
      <w:divBdr>
        <w:top w:val="none" w:sz="0" w:space="0" w:color="auto"/>
        <w:left w:val="none" w:sz="0" w:space="0" w:color="auto"/>
        <w:bottom w:val="none" w:sz="0" w:space="0" w:color="auto"/>
        <w:right w:val="none" w:sz="0" w:space="0" w:color="auto"/>
      </w:divBdr>
    </w:div>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67465228">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3743916">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05930669">
      <w:bodyDiv w:val="1"/>
      <w:marLeft w:val="0"/>
      <w:marRight w:val="0"/>
      <w:marTop w:val="0"/>
      <w:marBottom w:val="0"/>
      <w:divBdr>
        <w:top w:val="none" w:sz="0" w:space="0" w:color="auto"/>
        <w:left w:val="none" w:sz="0" w:space="0" w:color="auto"/>
        <w:bottom w:val="none" w:sz="0" w:space="0" w:color="auto"/>
        <w:right w:val="none" w:sz="0" w:space="0" w:color="auto"/>
      </w:divBdr>
    </w:div>
    <w:div w:id="106043428">
      <w:bodyDiv w:val="1"/>
      <w:marLeft w:val="0"/>
      <w:marRight w:val="0"/>
      <w:marTop w:val="0"/>
      <w:marBottom w:val="0"/>
      <w:divBdr>
        <w:top w:val="none" w:sz="0" w:space="0" w:color="auto"/>
        <w:left w:val="none" w:sz="0" w:space="0" w:color="auto"/>
        <w:bottom w:val="none" w:sz="0" w:space="0" w:color="auto"/>
        <w:right w:val="none" w:sz="0" w:space="0" w:color="auto"/>
      </w:divBdr>
    </w:div>
    <w:div w:id="124666309">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39425015">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59275347">
      <w:bodyDiv w:val="1"/>
      <w:marLeft w:val="0"/>
      <w:marRight w:val="0"/>
      <w:marTop w:val="0"/>
      <w:marBottom w:val="0"/>
      <w:divBdr>
        <w:top w:val="none" w:sz="0" w:space="0" w:color="auto"/>
        <w:left w:val="none" w:sz="0" w:space="0" w:color="auto"/>
        <w:bottom w:val="none" w:sz="0" w:space="0" w:color="auto"/>
        <w:right w:val="none" w:sz="0" w:space="0" w:color="auto"/>
      </w:divBdr>
    </w:div>
    <w:div w:id="171457929">
      <w:bodyDiv w:val="1"/>
      <w:marLeft w:val="0"/>
      <w:marRight w:val="0"/>
      <w:marTop w:val="0"/>
      <w:marBottom w:val="0"/>
      <w:divBdr>
        <w:top w:val="none" w:sz="0" w:space="0" w:color="auto"/>
        <w:left w:val="none" w:sz="0" w:space="0" w:color="auto"/>
        <w:bottom w:val="none" w:sz="0" w:space="0" w:color="auto"/>
        <w:right w:val="none" w:sz="0" w:space="0" w:color="auto"/>
      </w:divBdr>
    </w:div>
    <w:div w:id="182207614">
      <w:bodyDiv w:val="1"/>
      <w:marLeft w:val="0"/>
      <w:marRight w:val="0"/>
      <w:marTop w:val="0"/>
      <w:marBottom w:val="0"/>
      <w:divBdr>
        <w:top w:val="none" w:sz="0" w:space="0" w:color="auto"/>
        <w:left w:val="none" w:sz="0" w:space="0" w:color="auto"/>
        <w:bottom w:val="none" w:sz="0" w:space="0" w:color="auto"/>
        <w:right w:val="none" w:sz="0" w:space="0" w:color="auto"/>
      </w:divBdr>
    </w:div>
    <w:div w:id="196431309">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20403650">
      <w:bodyDiv w:val="1"/>
      <w:marLeft w:val="0"/>
      <w:marRight w:val="0"/>
      <w:marTop w:val="0"/>
      <w:marBottom w:val="0"/>
      <w:divBdr>
        <w:top w:val="none" w:sz="0" w:space="0" w:color="auto"/>
        <w:left w:val="none" w:sz="0" w:space="0" w:color="auto"/>
        <w:bottom w:val="none" w:sz="0" w:space="0" w:color="auto"/>
        <w:right w:val="none" w:sz="0" w:space="0" w:color="auto"/>
      </w:divBdr>
    </w:div>
    <w:div w:id="232744851">
      <w:bodyDiv w:val="1"/>
      <w:marLeft w:val="0"/>
      <w:marRight w:val="0"/>
      <w:marTop w:val="0"/>
      <w:marBottom w:val="0"/>
      <w:divBdr>
        <w:top w:val="none" w:sz="0" w:space="0" w:color="auto"/>
        <w:left w:val="none" w:sz="0" w:space="0" w:color="auto"/>
        <w:bottom w:val="none" w:sz="0" w:space="0" w:color="auto"/>
        <w:right w:val="none" w:sz="0" w:space="0" w:color="auto"/>
      </w:divBdr>
    </w:div>
    <w:div w:id="242225911">
      <w:bodyDiv w:val="1"/>
      <w:marLeft w:val="0"/>
      <w:marRight w:val="0"/>
      <w:marTop w:val="0"/>
      <w:marBottom w:val="0"/>
      <w:divBdr>
        <w:top w:val="none" w:sz="0" w:space="0" w:color="auto"/>
        <w:left w:val="none" w:sz="0" w:space="0" w:color="auto"/>
        <w:bottom w:val="none" w:sz="0" w:space="0" w:color="auto"/>
        <w:right w:val="none" w:sz="0" w:space="0" w:color="auto"/>
      </w:divBdr>
    </w:div>
    <w:div w:id="243338546">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76956759">
      <w:bodyDiv w:val="1"/>
      <w:marLeft w:val="0"/>
      <w:marRight w:val="0"/>
      <w:marTop w:val="0"/>
      <w:marBottom w:val="0"/>
      <w:divBdr>
        <w:top w:val="none" w:sz="0" w:space="0" w:color="auto"/>
        <w:left w:val="none" w:sz="0" w:space="0" w:color="auto"/>
        <w:bottom w:val="none" w:sz="0" w:space="0" w:color="auto"/>
        <w:right w:val="none" w:sz="0" w:space="0" w:color="auto"/>
      </w:divBdr>
    </w:div>
    <w:div w:id="281227868">
      <w:bodyDiv w:val="1"/>
      <w:marLeft w:val="0"/>
      <w:marRight w:val="0"/>
      <w:marTop w:val="0"/>
      <w:marBottom w:val="0"/>
      <w:divBdr>
        <w:top w:val="none" w:sz="0" w:space="0" w:color="auto"/>
        <w:left w:val="none" w:sz="0" w:space="0" w:color="auto"/>
        <w:bottom w:val="none" w:sz="0" w:space="0" w:color="auto"/>
        <w:right w:val="none" w:sz="0" w:space="0" w:color="auto"/>
      </w:divBdr>
    </w:div>
    <w:div w:id="291516805">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298994927">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12101782">
      <w:bodyDiv w:val="1"/>
      <w:marLeft w:val="0"/>
      <w:marRight w:val="0"/>
      <w:marTop w:val="0"/>
      <w:marBottom w:val="0"/>
      <w:divBdr>
        <w:top w:val="none" w:sz="0" w:space="0" w:color="auto"/>
        <w:left w:val="none" w:sz="0" w:space="0" w:color="auto"/>
        <w:bottom w:val="none" w:sz="0" w:space="0" w:color="auto"/>
        <w:right w:val="none" w:sz="0" w:space="0" w:color="auto"/>
      </w:divBdr>
    </w:div>
    <w:div w:id="321083164">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57507269">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385182349">
      <w:bodyDiv w:val="1"/>
      <w:marLeft w:val="0"/>
      <w:marRight w:val="0"/>
      <w:marTop w:val="0"/>
      <w:marBottom w:val="0"/>
      <w:divBdr>
        <w:top w:val="none" w:sz="0" w:space="0" w:color="auto"/>
        <w:left w:val="none" w:sz="0" w:space="0" w:color="auto"/>
        <w:bottom w:val="none" w:sz="0" w:space="0" w:color="auto"/>
        <w:right w:val="none" w:sz="0" w:space="0" w:color="auto"/>
      </w:divBdr>
    </w:div>
    <w:div w:id="454561303">
      <w:bodyDiv w:val="1"/>
      <w:marLeft w:val="0"/>
      <w:marRight w:val="0"/>
      <w:marTop w:val="0"/>
      <w:marBottom w:val="0"/>
      <w:divBdr>
        <w:top w:val="none" w:sz="0" w:space="0" w:color="auto"/>
        <w:left w:val="none" w:sz="0" w:space="0" w:color="auto"/>
        <w:bottom w:val="none" w:sz="0" w:space="0" w:color="auto"/>
        <w:right w:val="none" w:sz="0" w:space="0" w:color="auto"/>
      </w:divBdr>
    </w:div>
    <w:div w:id="465972476">
      <w:bodyDiv w:val="1"/>
      <w:marLeft w:val="0"/>
      <w:marRight w:val="0"/>
      <w:marTop w:val="0"/>
      <w:marBottom w:val="0"/>
      <w:divBdr>
        <w:top w:val="none" w:sz="0" w:space="0" w:color="auto"/>
        <w:left w:val="none" w:sz="0" w:space="0" w:color="auto"/>
        <w:bottom w:val="none" w:sz="0" w:space="0" w:color="auto"/>
        <w:right w:val="none" w:sz="0" w:space="0" w:color="auto"/>
      </w:divBdr>
    </w:div>
    <w:div w:id="469632646">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14612770">
      <w:bodyDiv w:val="1"/>
      <w:marLeft w:val="0"/>
      <w:marRight w:val="0"/>
      <w:marTop w:val="0"/>
      <w:marBottom w:val="0"/>
      <w:divBdr>
        <w:top w:val="none" w:sz="0" w:space="0" w:color="auto"/>
        <w:left w:val="none" w:sz="0" w:space="0" w:color="auto"/>
        <w:bottom w:val="none" w:sz="0" w:space="0" w:color="auto"/>
        <w:right w:val="none" w:sz="0" w:space="0" w:color="auto"/>
      </w:divBdr>
    </w:div>
    <w:div w:id="535504123">
      <w:bodyDiv w:val="1"/>
      <w:marLeft w:val="0"/>
      <w:marRight w:val="0"/>
      <w:marTop w:val="0"/>
      <w:marBottom w:val="0"/>
      <w:divBdr>
        <w:top w:val="none" w:sz="0" w:space="0" w:color="auto"/>
        <w:left w:val="none" w:sz="0" w:space="0" w:color="auto"/>
        <w:bottom w:val="none" w:sz="0" w:space="0" w:color="auto"/>
        <w:right w:val="none" w:sz="0" w:space="0" w:color="auto"/>
      </w:divBdr>
    </w:div>
    <w:div w:id="549460509">
      <w:bodyDiv w:val="1"/>
      <w:marLeft w:val="0"/>
      <w:marRight w:val="0"/>
      <w:marTop w:val="0"/>
      <w:marBottom w:val="0"/>
      <w:divBdr>
        <w:top w:val="none" w:sz="0" w:space="0" w:color="auto"/>
        <w:left w:val="none" w:sz="0" w:space="0" w:color="auto"/>
        <w:bottom w:val="none" w:sz="0" w:space="0" w:color="auto"/>
        <w:right w:val="none" w:sz="0" w:space="0" w:color="auto"/>
      </w:divBdr>
    </w:div>
    <w:div w:id="553388410">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57714546">
      <w:bodyDiv w:val="1"/>
      <w:marLeft w:val="0"/>
      <w:marRight w:val="0"/>
      <w:marTop w:val="0"/>
      <w:marBottom w:val="0"/>
      <w:divBdr>
        <w:top w:val="none" w:sz="0" w:space="0" w:color="auto"/>
        <w:left w:val="none" w:sz="0" w:space="0" w:color="auto"/>
        <w:bottom w:val="none" w:sz="0" w:space="0" w:color="auto"/>
        <w:right w:val="none" w:sz="0" w:space="0" w:color="auto"/>
      </w:divBdr>
    </w:div>
    <w:div w:id="571737852">
      <w:bodyDiv w:val="1"/>
      <w:marLeft w:val="0"/>
      <w:marRight w:val="0"/>
      <w:marTop w:val="0"/>
      <w:marBottom w:val="0"/>
      <w:divBdr>
        <w:top w:val="none" w:sz="0" w:space="0" w:color="auto"/>
        <w:left w:val="none" w:sz="0" w:space="0" w:color="auto"/>
        <w:bottom w:val="none" w:sz="0" w:space="0" w:color="auto"/>
        <w:right w:val="none" w:sz="0" w:space="0" w:color="auto"/>
      </w:divBdr>
    </w:div>
    <w:div w:id="619530526">
      <w:bodyDiv w:val="1"/>
      <w:marLeft w:val="0"/>
      <w:marRight w:val="0"/>
      <w:marTop w:val="0"/>
      <w:marBottom w:val="0"/>
      <w:divBdr>
        <w:top w:val="none" w:sz="0" w:space="0" w:color="auto"/>
        <w:left w:val="none" w:sz="0" w:space="0" w:color="auto"/>
        <w:bottom w:val="none" w:sz="0" w:space="0" w:color="auto"/>
        <w:right w:val="none" w:sz="0" w:space="0" w:color="auto"/>
      </w:divBdr>
    </w:div>
    <w:div w:id="640312466">
      <w:bodyDiv w:val="1"/>
      <w:marLeft w:val="0"/>
      <w:marRight w:val="0"/>
      <w:marTop w:val="0"/>
      <w:marBottom w:val="0"/>
      <w:divBdr>
        <w:top w:val="none" w:sz="0" w:space="0" w:color="auto"/>
        <w:left w:val="none" w:sz="0" w:space="0" w:color="auto"/>
        <w:bottom w:val="none" w:sz="0" w:space="0" w:color="auto"/>
        <w:right w:val="none" w:sz="0" w:space="0" w:color="auto"/>
      </w:divBdr>
    </w:div>
    <w:div w:id="640888255">
      <w:bodyDiv w:val="1"/>
      <w:marLeft w:val="0"/>
      <w:marRight w:val="0"/>
      <w:marTop w:val="0"/>
      <w:marBottom w:val="0"/>
      <w:divBdr>
        <w:top w:val="none" w:sz="0" w:space="0" w:color="auto"/>
        <w:left w:val="none" w:sz="0" w:space="0" w:color="auto"/>
        <w:bottom w:val="none" w:sz="0" w:space="0" w:color="auto"/>
        <w:right w:val="none" w:sz="0" w:space="0" w:color="auto"/>
      </w:divBdr>
    </w:div>
    <w:div w:id="641422647">
      <w:bodyDiv w:val="1"/>
      <w:marLeft w:val="0"/>
      <w:marRight w:val="0"/>
      <w:marTop w:val="0"/>
      <w:marBottom w:val="0"/>
      <w:divBdr>
        <w:top w:val="none" w:sz="0" w:space="0" w:color="auto"/>
        <w:left w:val="none" w:sz="0" w:space="0" w:color="auto"/>
        <w:bottom w:val="none" w:sz="0" w:space="0" w:color="auto"/>
        <w:right w:val="none" w:sz="0" w:space="0" w:color="auto"/>
      </w:divBdr>
    </w:div>
    <w:div w:id="653918659">
      <w:bodyDiv w:val="1"/>
      <w:marLeft w:val="0"/>
      <w:marRight w:val="0"/>
      <w:marTop w:val="0"/>
      <w:marBottom w:val="0"/>
      <w:divBdr>
        <w:top w:val="none" w:sz="0" w:space="0" w:color="auto"/>
        <w:left w:val="none" w:sz="0" w:space="0" w:color="auto"/>
        <w:bottom w:val="none" w:sz="0" w:space="0" w:color="auto"/>
        <w:right w:val="none" w:sz="0" w:space="0" w:color="auto"/>
      </w:divBdr>
    </w:div>
    <w:div w:id="688213204">
      <w:bodyDiv w:val="1"/>
      <w:marLeft w:val="0"/>
      <w:marRight w:val="0"/>
      <w:marTop w:val="0"/>
      <w:marBottom w:val="0"/>
      <w:divBdr>
        <w:top w:val="none" w:sz="0" w:space="0" w:color="auto"/>
        <w:left w:val="none" w:sz="0" w:space="0" w:color="auto"/>
        <w:bottom w:val="none" w:sz="0" w:space="0" w:color="auto"/>
        <w:right w:val="none" w:sz="0" w:space="0" w:color="auto"/>
      </w:divBdr>
    </w:div>
    <w:div w:id="689843630">
      <w:bodyDiv w:val="1"/>
      <w:marLeft w:val="0"/>
      <w:marRight w:val="0"/>
      <w:marTop w:val="0"/>
      <w:marBottom w:val="0"/>
      <w:divBdr>
        <w:top w:val="none" w:sz="0" w:space="0" w:color="auto"/>
        <w:left w:val="none" w:sz="0" w:space="0" w:color="auto"/>
        <w:bottom w:val="none" w:sz="0" w:space="0" w:color="auto"/>
        <w:right w:val="none" w:sz="0" w:space="0" w:color="auto"/>
      </w:divBdr>
    </w:div>
    <w:div w:id="697438823">
      <w:bodyDiv w:val="1"/>
      <w:marLeft w:val="0"/>
      <w:marRight w:val="0"/>
      <w:marTop w:val="0"/>
      <w:marBottom w:val="0"/>
      <w:divBdr>
        <w:top w:val="none" w:sz="0" w:space="0" w:color="auto"/>
        <w:left w:val="none" w:sz="0" w:space="0" w:color="auto"/>
        <w:bottom w:val="none" w:sz="0" w:space="0" w:color="auto"/>
        <w:right w:val="none" w:sz="0" w:space="0" w:color="auto"/>
      </w:divBdr>
    </w:div>
    <w:div w:id="738942377">
      <w:bodyDiv w:val="1"/>
      <w:marLeft w:val="0"/>
      <w:marRight w:val="0"/>
      <w:marTop w:val="0"/>
      <w:marBottom w:val="0"/>
      <w:divBdr>
        <w:top w:val="none" w:sz="0" w:space="0" w:color="auto"/>
        <w:left w:val="none" w:sz="0" w:space="0" w:color="auto"/>
        <w:bottom w:val="none" w:sz="0" w:space="0" w:color="auto"/>
        <w:right w:val="none" w:sz="0" w:space="0" w:color="auto"/>
      </w:divBdr>
    </w:div>
    <w:div w:id="763185272">
      <w:bodyDiv w:val="1"/>
      <w:marLeft w:val="0"/>
      <w:marRight w:val="0"/>
      <w:marTop w:val="0"/>
      <w:marBottom w:val="0"/>
      <w:divBdr>
        <w:top w:val="none" w:sz="0" w:space="0" w:color="auto"/>
        <w:left w:val="none" w:sz="0" w:space="0" w:color="auto"/>
        <w:bottom w:val="none" w:sz="0" w:space="0" w:color="auto"/>
        <w:right w:val="none" w:sz="0" w:space="0" w:color="auto"/>
      </w:divBdr>
    </w:div>
    <w:div w:id="775904730">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11559527">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45940774">
      <w:bodyDiv w:val="1"/>
      <w:marLeft w:val="0"/>
      <w:marRight w:val="0"/>
      <w:marTop w:val="0"/>
      <w:marBottom w:val="0"/>
      <w:divBdr>
        <w:top w:val="none" w:sz="0" w:space="0" w:color="auto"/>
        <w:left w:val="none" w:sz="0" w:space="0" w:color="auto"/>
        <w:bottom w:val="none" w:sz="0" w:space="0" w:color="auto"/>
        <w:right w:val="none" w:sz="0" w:space="0" w:color="auto"/>
      </w:divBdr>
    </w:div>
    <w:div w:id="876813071">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89657320">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20944179">
      <w:bodyDiv w:val="1"/>
      <w:marLeft w:val="0"/>
      <w:marRight w:val="0"/>
      <w:marTop w:val="0"/>
      <w:marBottom w:val="0"/>
      <w:divBdr>
        <w:top w:val="none" w:sz="0" w:space="0" w:color="auto"/>
        <w:left w:val="none" w:sz="0" w:space="0" w:color="auto"/>
        <w:bottom w:val="none" w:sz="0" w:space="0" w:color="auto"/>
        <w:right w:val="none" w:sz="0" w:space="0" w:color="auto"/>
      </w:divBdr>
    </w:div>
    <w:div w:id="926768117">
      <w:bodyDiv w:val="1"/>
      <w:marLeft w:val="0"/>
      <w:marRight w:val="0"/>
      <w:marTop w:val="0"/>
      <w:marBottom w:val="0"/>
      <w:divBdr>
        <w:top w:val="none" w:sz="0" w:space="0" w:color="auto"/>
        <w:left w:val="none" w:sz="0" w:space="0" w:color="auto"/>
        <w:bottom w:val="none" w:sz="0" w:space="0" w:color="auto"/>
        <w:right w:val="none" w:sz="0" w:space="0" w:color="auto"/>
      </w:divBdr>
    </w:div>
    <w:div w:id="967273462">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986978816">
      <w:bodyDiv w:val="1"/>
      <w:marLeft w:val="0"/>
      <w:marRight w:val="0"/>
      <w:marTop w:val="0"/>
      <w:marBottom w:val="0"/>
      <w:divBdr>
        <w:top w:val="none" w:sz="0" w:space="0" w:color="auto"/>
        <w:left w:val="none" w:sz="0" w:space="0" w:color="auto"/>
        <w:bottom w:val="none" w:sz="0" w:space="0" w:color="auto"/>
        <w:right w:val="none" w:sz="0" w:space="0" w:color="auto"/>
      </w:divBdr>
    </w:div>
    <w:div w:id="100331997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15690874">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0884853">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59666505">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084259126">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0708004">
      <w:bodyDiv w:val="1"/>
      <w:marLeft w:val="0"/>
      <w:marRight w:val="0"/>
      <w:marTop w:val="0"/>
      <w:marBottom w:val="0"/>
      <w:divBdr>
        <w:top w:val="none" w:sz="0" w:space="0" w:color="auto"/>
        <w:left w:val="none" w:sz="0" w:space="0" w:color="auto"/>
        <w:bottom w:val="none" w:sz="0" w:space="0" w:color="auto"/>
        <w:right w:val="none" w:sz="0" w:space="0" w:color="auto"/>
      </w:divBdr>
    </w:div>
    <w:div w:id="1135559784">
      <w:bodyDiv w:val="1"/>
      <w:marLeft w:val="0"/>
      <w:marRight w:val="0"/>
      <w:marTop w:val="0"/>
      <w:marBottom w:val="0"/>
      <w:divBdr>
        <w:top w:val="none" w:sz="0" w:space="0" w:color="auto"/>
        <w:left w:val="none" w:sz="0" w:space="0" w:color="auto"/>
        <w:bottom w:val="none" w:sz="0" w:space="0" w:color="auto"/>
        <w:right w:val="none" w:sz="0" w:space="0" w:color="auto"/>
      </w:divBdr>
    </w:div>
    <w:div w:id="1137801080">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53718532">
      <w:bodyDiv w:val="1"/>
      <w:marLeft w:val="0"/>
      <w:marRight w:val="0"/>
      <w:marTop w:val="0"/>
      <w:marBottom w:val="0"/>
      <w:divBdr>
        <w:top w:val="none" w:sz="0" w:space="0" w:color="auto"/>
        <w:left w:val="none" w:sz="0" w:space="0" w:color="auto"/>
        <w:bottom w:val="none" w:sz="0" w:space="0" w:color="auto"/>
        <w:right w:val="none" w:sz="0" w:space="0" w:color="auto"/>
      </w:divBdr>
    </w:div>
    <w:div w:id="1154679764">
      <w:bodyDiv w:val="1"/>
      <w:marLeft w:val="0"/>
      <w:marRight w:val="0"/>
      <w:marTop w:val="0"/>
      <w:marBottom w:val="0"/>
      <w:divBdr>
        <w:top w:val="none" w:sz="0" w:space="0" w:color="auto"/>
        <w:left w:val="none" w:sz="0" w:space="0" w:color="auto"/>
        <w:bottom w:val="none" w:sz="0" w:space="0" w:color="auto"/>
        <w:right w:val="none" w:sz="0" w:space="0" w:color="auto"/>
      </w:divBdr>
    </w:div>
    <w:div w:id="1163013179">
      <w:bodyDiv w:val="1"/>
      <w:marLeft w:val="0"/>
      <w:marRight w:val="0"/>
      <w:marTop w:val="0"/>
      <w:marBottom w:val="0"/>
      <w:divBdr>
        <w:top w:val="none" w:sz="0" w:space="0" w:color="auto"/>
        <w:left w:val="none" w:sz="0" w:space="0" w:color="auto"/>
        <w:bottom w:val="none" w:sz="0" w:space="0" w:color="auto"/>
        <w:right w:val="none" w:sz="0" w:space="0" w:color="auto"/>
      </w:divBdr>
    </w:div>
    <w:div w:id="1173030586">
      <w:bodyDiv w:val="1"/>
      <w:marLeft w:val="0"/>
      <w:marRight w:val="0"/>
      <w:marTop w:val="0"/>
      <w:marBottom w:val="0"/>
      <w:divBdr>
        <w:top w:val="none" w:sz="0" w:space="0" w:color="auto"/>
        <w:left w:val="none" w:sz="0" w:space="0" w:color="auto"/>
        <w:bottom w:val="none" w:sz="0" w:space="0" w:color="auto"/>
        <w:right w:val="none" w:sz="0" w:space="0" w:color="auto"/>
      </w:divBdr>
    </w:div>
    <w:div w:id="1176067504">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177505436">
      <w:bodyDiv w:val="1"/>
      <w:marLeft w:val="0"/>
      <w:marRight w:val="0"/>
      <w:marTop w:val="0"/>
      <w:marBottom w:val="0"/>
      <w:divBdr>
        <w:top w:val="none" w:sz="0" w:space="0" w:color="auto"/>
        <w:left w:val="none" w:sz="0" w:space="0" w:color="auto"/>
        <w:bottom w:val="none" w:sz="0" w:space="0" w:color="auto"/>
        <w:right w:val="none" w:sz="0" w:space="0" w:color="auto"/>
      </w:divBdr>
    </w:div>
    <w:div w:id="1200163762">
      <w:bodyDiv w:val="1"/>
      <w:marLeft w:val="0"/>
      <w:marRight w:val="0"/>
      <w:marTop w:val="0"/>
      <w:marBottom w:val="0"/>
      <w:divBdr>
        <w:top w:val="none" w:sz="0" w:space="0" w:color="auto"/>
        <w:left w:val="none" w:sz="0" w:space="0" w:color="auto"/>
        <w:bottom w:val="none" w:sz="0" w:space="0" w:color="auto"/>
        <w:right w:val="none" w:sz="0" w:space="0" w:color="auto"/>
      </w:divBdr>
    </w:div>
    <w:div w:id="1203592528">
      <w:bodyDiv w:val="1"/>
      <w:marLeft w:val="0"/>
      <w:marRight w:val="0"/>
      <w:marTop w:val="0"/>
      <w:marBottom w:val="0"/>
      <w:divBdr>
        <w:top w:val="none" w:sz="0" w:space="0" w:color="auto"/>
        <w:left w:val="none" w:sz="0" w:space="0" w:color="auto"/>
        <w:bottom w:val="none" w:sz="0" w:space="0" w:color="auto"/>
        <w:right w:val="none" w:sz="0" w:space="0" w:color="auto"/>
      </w:divBdr>
    </w:div>
    <w:div w:id="1227647695">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47615209">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66302753">
      <w:bodyDiv w:val="1"/>
      <w:marLeft w:val="0"/>
      <w:marRight w:val="0"/>
      <w:marTop w:val="0"/>
      <w:marBottom w:val="0"/>
      <w:divBdr>
        <w:top w:val="none" w:sz="0" w:space="0" w:color="auto"/>
        <w:left w:val="none" w:sz="0" w:space="0" w:color="auto"/>
        <w:bottom w:val="none" w:sz="0" w:space="0" w:color="auto"/>
        <w:right w:val="none" w:sz="0" w:space="0" w:color="auto"/>
      </w:divBdr>
    </w:div>
    <w:div w:id="1282955767">
      <w:bodyDiv w:val="1"/>
      <w:marLeft w:val="0"/>
      <w:marRight w:val="0"/>
      <w:marTop w:val="0"/>
      <w:marBottom w:val="0"/>
      <w:divBdr>
        <w:top w:val="none" w:sz="0" w:space="0" w:color="auto"/>
        <w:left w:val="none" w:sz="0" w:space="0" w:color="auto"/>
        <w:bottom w:val="none" w:sz="0" w:space="0" w:color="auto"/>
        <w:right w:val="none" w:sz="0" w:space="0" w:color="auto"/>
      </w:divBdr>
    </w:div>
    <w:div w:id="1295796686">
      <w:bodyDiv w:val="1"/>
      <w:marLeft w:val="0"/>
      <w:marRight w:val="0"/>
      <w:marTop w:val="0"/>
      <w:marBottom w:val="0"/>
      <w:divBdr>
        <w:top w:val="none" w:sz="0" w:space="0" w:color="auto"/>
        <w:left w:val="none" w:sz="0" w:space="0" w:color="auto"/>
        <w:bottom w:val="none" w:sz="0" w:space="0" w:color="auto"/>
        <w:right w:val="none" w:sz="0" w:space="0" w:color="auto"/>
      </w:divBdr>
    </w:div>
    <w:div w:id="1315063032">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385526613">
      <w:bodyDiv w:val="1"/>
      <w:marLeft w:val="0"/>
      <w:marRight w:val="0"/>
      <w:marTop w:val="0"/>
      <w:marBottom w:val="0"/>
      <w:divBdr>
        <w:top w:val="none" w:sz="0" w:space="0" w:color="auto"/>
        <w:left w:val="none" w:sz="0" w:space="0" w:color="auto"/>
        <w:bottom w:val="none" w:sz="0" w:space="0" w:color="auto"/>
        <w:right w:val="none" w:sz="0" w:space="0" w:color="auto"/>
      </w:divBdr>
    </w:div>
    <w:div w:id="1390153306">
      <w:bodyDiv w:val="1"/>
      <w:marLeft w:val="0"/>
      <w:marRight w:val="0"/>
      <w:marTop w:val="0"/>
      <w:marBottom w:val="0"/>
      <w:divBdr>
        <w:top w:val="none" w:sz="0" w:space="0" w:color="auto"/>
        <w:left w:val="none" w:sz="0" w:space="0" w:color="auto"/>
        <w:bottom w:val="none" w:sz="0" w:space="0" w:color="auto"/>
        <w:right w:val="none" w:sz="0" w:space="0" w:color="auto"/>
      </w:divBdr>
    </w:div>
    <w:div w:id="1392465380">
      <w:bodyDiv w:val="1"/>
      <w:marLeft w:val="0"/>
      <w:marRight w:val="0"/>
      <w:marTop w:val="0"/>
      <w:marBottom w:val="0"/>
      <w:divBdr>
        <w:top w:val="none" w:sz="0" w:space="0" w:color="auto"/>
        <w:left w:val="none" w:sz="0" w:space="0" w:color="auto"/>
        <w:bottom w:val="none" w:sz="0" w:space="0" w:color="auto"/>
        <w:right w:val="none" w:sz="0" w:space="0" w:color="auto"/>
      </w:divBdr>
    </w:div>
    <w:div w:id="1404764644">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3747143">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78454767">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488784584">
      <w:bodyDiv w:val="1"/>
      <w:marLeft w:val="0"/>
      <w:marRight w:val="0"/>
      <w:marTop w:val="0"/>
      <w:marBottom w:val="0"/>
      <w:divBdr>
        <w:top w:val="none" w:sz="0" w:space="0" w:color="auto"/>
        <w:left w:val="none" w:sz="0" w:space="0" w:color="auto"/>
        <w:bottom w:val="none" w:sz="0" w:space="0" w:color="auto"/>
        <w:right w:val="none" w:sz="0" w:space="0" w:color="auto"/>
      </w:divBdr>
    </w:div>
    <w:div w:id="1496065303">
      <w:bodyDiv w:val="1"/>
      <w:marLeft w:val="0"/>
      <w:marRight w:val="0"/>
      <w:marTop w:val="0"/>
      <w:marBottom w:val="0"/>
      <w:divBdr>
        <w:top w:val="none" w:sz="0" w:space="0" w:color="auto"/>
        <w:left w:val="none" w:sz="0" w:space="0" w:color="auto"/>
        <w:bottom w:val="none" w:sz="0" w:space="0" w:color="auto"/>
        <w:right w:val="none" w:sz="0" w:space="0" w:color="auto"/>
      </w:divBdr>
    </w:div>
    <w:div w:id="1497382902">
      <w:bodyDiv w:val="1"/>
      <w:marLeft w:val="0"/>
      <w:marRight w:val="0"/>
      <w:marTop w:val="0"/>
      <w:marBottom w:val="0"/>
      <w:divBdr>
        <w:top w:val="none" w:sz="0" w:space="0" w:color="auto"/>
        <w:left w:val="none" w:sz="0" w:space="0" w:color="auto"/>
        <w:bottom w:val="none" w:sz="0" w:space="0" w:color="auto"/>
        <w:right w:val="none" w:sz="0" w:space="0" w:color="auto"/>
      </w:divBdr>
    </w:div>
    <w:div w:id="1510677456">
      <w:bodyDiv w:val="1"/>
      <w:marLeft w:val="0"/>
      <w:marRight w:val="0"/>
      <w:marTop w:val="0"/>
      <w:marBottom w:val="0"/>
      <w:divBdr>
        <w:top w:val="none" w:sz="0" w:space="0" w:color="auto"/>
        <w:left w:val="none" w:sz="0" w:space="0" w:color="auto"/>
        <w:bottom w:val="none" w:sz="0" w:space="0" w:color="auto"/>
        <w:right w:val="none" w:sz="0" w:space="0" w:color="auto"/>
      </w:divBdr>
    </w:div>
    <w:div w:id="1511917525">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595939287">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40648858">
      <w:bodyDiv w:val="1"/>
      <w:marLeft w:val="0"/>
      <w:marRight w:val="0"/>
      <w:marTop w:val="0"/>
      <w:marBottom w:val="0"/>
      <w:divBdr>
        <w:top w:val="none" w:sz="0" w:space="0" w:color="auto"/>
        <w:left w:val="none" w:sz="0" w:space="0" w:color="auto"/>
        <w:bottom w:val="none" w:sz="0" w:space="0" w:color="auto"/>
        <w:right w:val="none" w:sz="0" w:space="0" w:color="auto"/>
      </w:divBdr>
    </w:div>
    <w:div w:id="1647078712">
      <w:bodyDiv w:val="1"/>
      <w:marLeft w:val="0"/>
      <w:marRight w:val="0"/>
      <w:marTop w:val="0"/>
      <w:marBottom w:val="0"/>
      <w:divBdr>
        <w:top w:val="none" w:sz="0" w:space="0" w:color="auto"/>
        <w:left w:val="none" w:sz="0" w:space="0" w:color="auto"/>
        <w:bottom w:val="none" w:sz="0" w:space="0" w:color="auto"/>
        <w:right w:val="none" w:sz="0" w:space="0" w:color="auto"/>
      </w:divBdr>
    </w:div>
    <w:div w:id="1655641982">
      <w:bodyDiv w:val="1"/>
      <w:marLeft w:val="0"/>
      <w:marRight w:val="0"/>
      <w:marTop w:val="0"/>
      <w:marBottom w:val="0"/>
      <w:divBdr>
        <w:top w:val="none" w:sz="0" w:space="0" w:color="auto"/>
        <w:left w:val="none" w:sz="0" w:space="0" w:color="auto"/>
        <w:bottom w:val="none" w:sz="0" w:space="0" w:color="auto"/>
        <w:right w:val="none" w:sz="0" w:space="0" w:color="auto"/>
      </w:divBdr>
    </w:div>
    <w:div w:id="1712152009">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2386722">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1109363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38307499">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54614756">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13538243">
      <w:bodyDiv w:val="1"/>
      <w:marLeft w:val="0"/>
      <w:marRight w:val="0"/>
      <w:marTop w:val="0"/>
      <w:marBottom w:val="0"/>
      <w:divBdr>
        <w:top w:val="none" w:sz="0" w:space="0" w:color="auto"/>
        <w:left w:val="none" w:sz="0" w:space="0" w:color="auto"/>
        <w:bottom w:val="none" w:sz="0" w:space="0" w:color="auto"/>
        <w:right w:val="none" w:sz="0" w:space="0" w:color="auto"/>
      </w:divBdr>
    </w:div>
    <w:div w:id="1932885454">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35674281">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52004868">
      <w:bodyDiv w:val="1"/>
      <w:marLeft w:val="0"/>
      <w:marRight w:val="0"/>
      <w:marTop w:val="0"/>
      <w:marBottom w:val="0"/>
      <w:divBdr>
        <w:top w:val="none" w:sz="0" w:space="0" w:color="auto"/>
        <w:left w:val="none" w:sz="0" w:space="0" w:color="auto"/>
        <w:bottom w:val="none" w:sz="0" w:space="0" w:color="auto"/>
        <w:right w:val="none" w:sz="0" w:space="0" w:color="auto"/>
      </w:divBdr>
    </w:div>
    <w:div w:id="1992589126">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12755756">
      <w:bodyDiv w:val="1"/>
      <w:marLeft w:val="0"/>
      <w:marRight w:val="0"/>
      <w:marTop w:val="0"/>
      <w:marBottom w:val="0"/>
      <w:divBdr>
        <w:top w:val="none" w:sz="0" w:space="0" w:color="auto"/>
        <w:left w:val="none" w:sz="0" w:space="0" w:color="auto"/>
        <w:bottom w:val="none" w:sz="0" w:space="0" w:color="auto"/>
        <w:right w:val="none" w:sz="0" w:space="0" w:color="auto"/>
      </w:divBdr>
    </w:div>
    <w:div w:id="2062709223">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 w:id="2082946902">
      <w:bodyDiv w:val="1"/>
      <w:marLeft w:val="0"/>
      <w:marRight w:val="0"/>
      <w:marTop w:val="0"/>
      <w:marBottom w:val="0"/>
      <w:divBdr>
        <w:top w:val="none" w:sz="0" w:space="0" w:color="auto"/>
        <w:left w:val="none" w:sz="0" w:space="0" w:color="auto"/>
        <w:bottom w:val="none" w:sz="0" w:space="0" w:color="auto"/>
        <w:right w:val="none" w:sz="0" w:space="0" w:color="auto"/>
      </w:divBdr>
    </w:div>
    <w:div w:id="2083062754">
      <w:bodyDiv w:val="1"/>
      <w:marLeft w:val="0"/>
      <w:marRight w:val="0"/>
      <w:marTop w:val="0"/>
      <w:marBottom w:val="0"/>
      <w:divBdr>
        <w:top w:val="none" w:sz="0" w:space="0" w:color="auto"/>
        <w:left w:val="none" w:sz="0" w:space="0" w:color="auto"/>
        <w:bottom w:val="none" w:sz="0" w:space="0" w:color="auto"/>
        <w:right w:val="none" w:sz="0" w:space="0" w:color="auto"/>
      </w:divBdr>
    </w:div>
    <w:div w:id="2118282532">
      <w:bodyDiv w:val="1"/>
      <w:marLeft w:val="0"/>
      <w:marRight w:val="0"/>
      <w:marTop w:val="0"/>
      <w:marBottom w:val="0"/>
      <w:divBdr>
        <w:top w:val="none" w:sz="0" w:space="0" w:color="auto"/>
        <w:left w:val="none" w:sz="0" w:space="0" w:color="auto"/>
        <w:bottom w:val="none" w:sz="0" w:space="0" w:color="auto"/>
        <w:right w:val="none" w:sz="0" w:space="0" w:color="auto"/>
      </w:divBdr>
    </w:div>
    <w:div w:id="2125884023">
      <w:bodyDiv w:val="1"/>
      <w:marLeft w:val="0"/>
      <w:marRight w:val="0"/>
      <w:marTop w:val="0"/>
      <w:marBottom w:val="0"/>
      <w:divBdr>
        <w:top w:val="none" w:sz="0" w:space="0" w:color="auto"/>
        <w:left w:val="none" w:sz="0" w:space="0" w:color="auto"/>
        <w:bottom w:val="none" w:sz="0" w:space="0" w:color="auto"/>
        <w:right w:val="none" w:sz="0" w:space="0" w:color="auto"/>
      </w:divBdr>
    </w:div>
    <w:div w:id="2125998962">
      <w:bodyDiv w:val="1"/>
      <w:marLeft w:val="0"/>
      <w:marRight w:val="0"/>
      <w:marTop w:val="0"/>
      <w:marBottom w:val="0"/>
      <w:divBdr>
        <w:top w:val="none" w:sz="0" w:space="0" w:color="auto"/>
        <w:left w:val="none" w:sz="0" w:space="0" w:color="auto"/>
        <w:bottom w:val="none" w:sz="0" w:space="0" w:color="auto"/>
        <w:right w:val="none" w:sz="0" w:space="0" w:color="auto"/>
      </w:divBdr>
    </w:div>
    <w:div w:id="21264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4E09"/>
    <w:rsid w:val="00015998"/>
    <w:rsid w:val="00017243"/>
    <w:rsid w:val="0002603B"/>
    <w:rsid w:val="00030CD9"/>
    <w:rsid w:val="00035843"/>
    <w:rsid w:val="00037061"/>
    <w:rsid w:val="000568F4"/>
    <w:rsid w:val="00072051"/>
    <w:rsid w:val="000A7D96"/>
    <w:rsid w:val="000B08C0"/>
    <w:rsid w:val="000C5EBA"/>
    <w:rsid w:val="0010303A"/>
    <w:rsid w:val="001130EB"/>
    <w:rsid w:val="00121A71"/>
    <w:rsid w:val="0012268A"/>
    <w:rsid w:val="00130B20"/>
    <w:rsid w:val="001331DE"/>
    <w:rsid w:val="00150659"/>
    <w:rsid w:val="00153F06"/>
    <w:rsid w:val="00195BC4"/>
    <w:rsid w:val="001B475D"/>
    <w:rsid w:val="001D4E93"/>
    <w:rsid w:val="001D7E54"/>
    <w:rsid w:val="001F3FA6"/>
    <w:rsid w:val="001F429A"/>
    <w:rsid w:val="002043CE"/>
    <w:rsid w:val="00214B94"/>
    <w:rsid w:val="0022169C"/>
    <w:rsid w:val="00231EFA"/>
    <w:rsid w:val="00235C2C"/>
    <w:rsid w:val="00250369"/>
    <w:rsid w:val="00267EC7"/>
    <w:rsid w:val="00277363"/>
    <w:rsid w:val="00277EE1"/>
    <w:rsid w:val="0028007D"/>
    <w:rsid w:val="00281A9F"/>
    <w:rsid w:val="002A3FA7"/>
    <w:rsid w:val="002B4523"/>
    <w:rsid w:val="002D3461"/>
    <w:rsid w:val="002E2E5A"/>
    <w:rsid w:val="002E4902"/>
    <w:rsid w:val="00303C66"/>
    <w:rsid w:val="0032075A"/>
    <w:rsid w:val="00322794"/>
    <w:rsid w:val="00332BCD"/>
    <w:rsid w:val="00332F7B"/>
    <w:rsid w:val="00334B01"/>
    <w:rsid w:val="00340D1F"/>
    <w:rsid w:val="00346668"/>
    <w:rsid w:val="003470E4"/>
    <w:rsid w:val="00354FFC"/>
    <w:rsid w:val="0035735D"/>
    <w:rsid w:val="003717D9"/>
    <w:rsid w:val="00386ECD"/>
    <w:rsid w:val="003C04D1"/>
    <w:rsid w:val="003D00D9"/>
    <w:rsid w:val="003D3D12"/>
    <w:rsid w:val="00405765"/>
    <w:rsid w:val="0041112F"/>
    <w:rsid w:val="004121A9"/>
    <w:rsid w:val="004135C5"/>
    <w:rsid w:val="004514D4"/>
    <w:rsid w:val="00451AD6"/>
    <w:rsid w:val="00454876"/>
    <w:rsid w:val="00457568"/>
    <w:rsid w:val="00477CAB"/>
    <w:rsid w:val="00487C1C"/>
    <w:rsid w:val="00496BCC"/>
    <w:rsid w:val="004C2423"/>
    <w:rsid w:val="004E3CAA"/>
    <w:rsid w:val="004F3417"/>
    <w:rsid w:val="004F503C"/>
    <w:rsid w:val="00503F0D"/>
    <w:rsid w:val="00515A2A"/>
    <w:rsid w:val="005230F2"/>
    <w:rsid w:val="0053247E"/>
    <w:rsid w:val="00536D91"/>
    <w:rsid w:val="005752D7"/>
    <w:rsid w:val="005C0413"/>
    <w:rsid w:val="005C0C43"/>
    <w:rsid w:val="006010A9"/>
    <w:rsid w:val="00617978"/>
    <w:rsid w:val="0063656A"/>
    <w:rsid w:val="00636D3F"/>
    <w:rsid w:val="00653128"/>
    <w:rsid w:val="00664110"/>
    <w:rsid w:val="00675D74"/>
    <w:rsid w:val="00676C3A"/>
    <w:rsid w:val="00676DCD"/>
    <w:rsid w:val="00682789"/>
    <w:rsid w:val="006A3DCC"/>
    <w:rsid w:val="006B71CD"/>
    <w:rsid w:val="006C394A"/>
    <w:rsid w:val="006E2E50"/>
    <w:rsid w:val="006F33BC"/>
    <w:rsid w:val="00701135"/>
    <w:rsid w:val="00704D4B"/>
    <w:rsid w:val="00707A57"/>
    <w:rsid w:val="00711E25"/>
    <w:rsid w:val="00730FCB"/>
    <w:rsid w:val="00734F84"/>
    <w:rsid w:val="00740E2F"/>
    <w:rsid w:val="007868DA"/>
    <w:rsid w:val="00791084"/>
    <w:rsid w:val="00791C98"/>
    <w:rsid w:val="007A1616"/>
    <w:rsid w:val="007A26C9"/>
    <w:rsid w:val="007A47A2"/>
    <w:rsid w:val="007C2F93"/>
    <w:rsid w:val="007C78BD"/>
    <w:rsid w:val="007F564A"/>
    <w:rsid w:val="007F7AF9"/>
    <w:rsid w:val="00800363"/>
    <w:rsid w:val="008175A9"/>
    <w:rsid w:val="0083005C"/>
    <w:rsid w:val="00831D62"/>
    <w:rsid w:val="00836ACF"/>
    <w:rsid w:val="00847CFC"/>
    <w:rsid w:val="00855333"/>
    <w:rsid w:val="0085537E"/>
    <w:rsid w:val="00872DC5"/>
    <w:rsid w:val="00881447"/>
    <w:rsid w:val="008961FE"/>
    <w:rsid w:val="008A14FA"/>
    <w:rsid w:val="008A78F2"/>
    <w:rsid w:val="008C3EFB"/>
    <w:rsid w:val="008D218D"/>
    <w:rsid w:val="008E0B75"/>
    <w:rsid w:val="008E47DE"/>
    <w:rsid w:val="008F475D"/>
    <w:rsid w:val="00900B49"/>
    <w:rsid w:val="00903718"/>
    <w:rsid w:val="00920DC0"/>
    <w:rsid w:val="00933B6A"/>
    <w:rsid w:val="00940C9F"/>
    <w:rsid w:val="00957BE3"/>
    <w:rsid w:val="00977A3C"/>
    <w:rsid w:val="009941DE"/>
    <w:rsid w:val="00997266"/>
    <w:rsid w:val="009C4D9B"/>
    <w:rsid w:val="009D0349"/>
    <w:rsid w:val="009E0411"/>
    <w:rsid w:val="00A05E48"/>
    <w:rsid w:val="00A25E7A"/>
    <w:rsid w:val="00A315DC"/>
    <w:rsid w:val="00A555A5"/>
    <w:rsid w:val="00A6737F"/>
    <w:rsid w:val="00A715CE"/>
    <w:rsid w:val="00A77458"/>
    <w:rsid w:val="00A81410"/>
    <w:rsid w:val="00AA1DD1"/>
    <w:rsid w:val="00AD2281"/>
    <w:rsid w:val="00AD6D18"/>
    <w:rsid w:val="00AF6221"/>
    <w:rsid w:val="00B011BA"/>
    <w:rsid w:val="00B01778"/>
    <w:rsid w:val="00B042ED"/>
    <w:rsid w:val="00B169DD"/>
    <w:rsid w:val="00B23843"/>
    <w:rsid w:val="00B31AE4"/>
    <w:rsid w:val="00B42E12"/>
    <w:rsid w:val="00B57234"/>
    <w:rsid w:val="00B71C50"/>
    <w:rsid w:val="00B74FAA"/>
    <w:rsid w:val="00B75C83"/>
    <w:rsid w:val="00B81036"/>
    <w:rsid w:val="00B816FE"/>
    <w:rsid w:val="00B85413"/>
    <w:rsid w:val="00B9592B"/>
    <w:rsid w:val="00B9733A"/>
    <w:rsid w:val="00BA7198"/>
    <w:rsid w:val="00BC0E98"/>
    <w:rsid w:val="00BD1E48"/>
    <w:rsid w:val="00BE143C"/>
    <w:rsid w:val="00C01E11"/>
    <w:rsid w:val="00C169E1"/>
    <w:rsid w:val="00C415B3"/>
    <w:rsid w:val="00C43185"/>
    <w:rsid w:val="00C470AF"/>
    <w:rsid w:val="00C676A3"/>
    <w:rsid w:val="00C67ADB"/>
    <w:rsid w:val="00C709FF"/>
    <w:rsid w:val="00C7231E"/>
    <w:rsid w:val="00C825C8"/>
    <w:rsid w:val="00C900E5"/>
    <w:rsid w:val="00C95C3D"/>
    <w:rsid w:val="00CA1DBB"/>
    <w:rsid w:val="00CA3FCD"/>
    <w:rsid w:val="00CB1412"/>
    <w:rsid w:val="00CB27C8"/>
    <w:rsid w:val="00CC6208"/>
    <w:rsid w:val="00CE6284"/>
    <w:rsid w:val="00D02919"/>
    <w:rsid w:val="00D02E38"/>
    <w:rsid w:val="00D26D6C"/>
    <w:rsid w:val="00D34DCE"/>
    <w:rsid w:val="00D533D1"/>
    <w:rsid w:val="00D54CBF"/>
    <w:rsid w:val="00D664C6"/>
    <w:rsid w:val="00D67D27"/>
    <w:rsid w:val="00D87755"/>
    <w:rsid w:val="00DA0D34"/>
    <w:rsid w:val="00DA5003"/>
    <w:rsid w:val="00DB0E92"/>
    <w:rsid w:val="00DB4C4B"/>
    <w:rsid w:val="00DC5175"/>
    <w:rsid w:val="00DE127F"/>
    <w:rsid w:val="00E23ABF"/>
    <w:rsid w:val="00E24484"/>
    <w:rsid w:val="00E2565A"/>
    <w:rsid w:val="00E52426"/>
    <w:rsid w:val="00E703C2"/>
    <w:rsid w:val="00E72975"/>
    <w:rsid w:val="00E74528"/>
    <w:rsid w:val="00E75B68"/>
    <w:rsid w:val="00E83565"/>
    <w:rsid w:val="00E954B9"/>
    <w:rsid w:val="00EA6B9C"/>
    <w:rsid w:val="00EC1EC2"/>
    <w:rsid w:val="00F0320E"/>
    <w:rsid w:val="00F043FF"/>
    <w:rsid w:val="00F04492"/>
    <w:rsid w:val="00F0591F"/>
    <w:rsid w:val="00F06EB0"/>
    <w:rsid w:val="00F22CC4"/>
    <w:rsid w:val="00F25558"/>
    <w:rsid w:val="00F34A65"/>
    <w:rsid w:val="00F4085D"/>
    <w:rsid w:val="00F466EC"/>
    <w:rsid w:val="00F67CBC"/>
    <w:rsid w:val="00F73025"/>
    <w:rsid w:val="00F82B6B"/>
    <w:rsid w:val="00F85ED9"/>
    <w:rsid w:val="00F9352D"/>
    <w:rsid w:val="00FA7DFD"/>
    <w:rsid w:val="00FB08EE"/>
    <w:rsid w:val="00FC4F3F"/>
    <w:rsid w:val="00FE3502"/>
    <w:rsid w:val="00FF0FDD"/>
    <w:rsid w:val="00FF4A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E0776-E645-4CD0-9B43-DB56B90B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5287</Words>
  <Characters>29082</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11</cp:revision>
  <cp:lastPrinted>2016-09-21T20:03:00Z</cp:lastPrinted>
  <dcterms:created xsi:type="dcterms:W3CDTF">2016-09-20T02:32:00Z</dcterms:created>
  <dcterms:modified xsi:type="dcterms:W3CDTF">2016-09-22T00:47:00Z</dcterms:modified>
</cp:coreProperties>
</file>