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898" w:type="dxa"/>
        <w:tblBorders>
          <w:bottom w:val="single" w:sz="4" w:space="0" w:color="2A5A78"/>
        </w:tblBorders>
        <w:tblCellMar>
          <w:top w:w="58" w:type="dxa"/>
          <w:left w:w="115" w:type="dxa"/>
          <w:bottom w:w="58" w:type="dxa"/>
          <w:right w:w="115" w:type="dxa"/>
        </w:tblCellMar>
        <w:tblLook w:val="0000"/>
      </w:tblPr>
      <w:tblGrid>
        <w:gridCol w:w="2242"/>
        <w:gridCol w:w="2551"/>
        <w:gridCol w:w="5105"/>
      </w:tblGrid>
      <w:tr w:rsidR="00B02272">
        <w:trPr>
          <w:trHeight w:val="1080"/>
        </w:trPr>
        <w:tc>
          <w:tcPr>
            <w:tcW w:w="2242" w:type="dxa"/>
            <w:tcBorders>
              <w:top w:val="nil"/>
              <w:left w:val="nil"/>
              <w:bottom w:val="single" w:sz="4" w:space="0" w:color="2A5A78"/>
              <w:right w:val="nil"/>
            </w:tcBorders>
            <w:vAlign w:val="center"/>
          </w:tcPr>
          <w:p w:rsidR="00B02272" w:rsidRPr="00C156EB" w:rsidRDefault="005133CE">
            <w:pPr>
              <w:pStyle w:val="ContactName"/>
              <w:rPr>
                <w:color w:val="auto"/>
                <w:lang w:val="fr-FR"/>
              </w:rPr>
            </w:pPr>
            <w:r w:rsidRPr="00C156EB">
              <w:rPr>
                <w:color w:val="auto"/>
                <w:lang w:val="fr-FR"/>
              </w:rPr>
              <w:t xml:space="preserve">Contact : </w:t>
            </w:r>
          </w:p>
          <w:p w:rsidR="00B02272" w:rsidRPr="00C156EB" w:rsidRDefault="005133CE">
            <w:pPr>
              <w:pStyle w:val="ContactInformation"/>
              <w:rPr>
                <w:color w:val="auto"/>
                <w:lang w:val="fr-FR"/>
              </w:rPr>
            </w:pPr>
            <w:r w:rsidRPr="00C156EB">
              <w:rPr>
                <w:color w:val="auto"/>
                <w:lang w:val="fr-FR"/>
              </w:rPr>
              <w:t>Ets Vanille de Tahiti</w:t>
            </w:r>
          </w:p>
          <w:p w:rsidR="00B02272" w:rsidRPr="00C156EB" w:rsidRDefault="005133CE">
            <w:pPr>
              <w:pStyle w:val="ContactInformation"/>
              <w:rPr>
                <w:color w:val="auto"/>
                <w:lang w:val="fr-FR"/>
              </w:rPr>
            </w:pPr>
            <w:r w:rsidRPr="00C156EB">
              <w:rPr>
                <w:color w:val="auto"/>
                <w:lang w:val="fr-FR"/>
              </w:rPr>
              <w:t>Téléphone : (689) 50 89 50</w:t>
            </w:r>
          </w:p>
          <w:p w:rsidR="00B02272" w:rsidRPr="00491FBE" w:rsidRDefault="005133CE" w:rsidP="00491FBE">
            <w:pPr>
              <w:pStyle w:val="ContactInformation"/>
              <w:rPr>
                <w:color w:val="auto"/>
              </w:rPr>
            </w:pPr>
            <w:r w:rsidRPr="00491FBE">
              <w:rPr>
                <w:color w:val="auto"/>
              </w:rPr>
              <w:t>Télécopie : (689) 50 89 52</w:t>
            </w:r>
          </w:p>
        </w:tc>
        <w:tc>
          <w:tcPr>
            <w:tcW w:w="2551" w:type="dxa"/>
            <w:tcBorders>
              <w:top w:val="nil"/>
              <w:left w:val="nil"/>
              <w:bottom w:val="single" w:sz="4" w:space="0" w:color="2A5A78"/>
              <w:right w:val="nil"/>
            </w:tcBorders>
            <w:vAlign w:val="center"/>
          </w:tcPr>
          <w:p w:rsidR="00B02272" w:rsidRPr="00C156EB" w:rsidRDefault="00363127">
            <w:pPr>
              <w:pStyle w:val="ContactInformation"/>
              <w:rPr>
                <w:color w:val="auto"/>
                <w:lang w:val="fr-FR"/>
              </w:rPr>
            </w:pPr>
          </w:p>
          <w:p w:rsidR="00B02272" w:rsidRPr="00C156EB" w:rsidRDefault="005133CE">
            <w:pPr>
              <w:pStyle w:val="ContactInformation"/>
              <w:rPr>
                <w:color w:val="auto"/>
                <w:lang w:val="fr-FR"/>
              </w:rPr>
            </w:pPr>
            <w:r w:rsidRPr="00C156EB">
              <w:rPr>
                <w:color w:val="auto"/>
                <w:lang w:val="fr-FR"/>
              </w:rPr>
              <w:t>Rue des Poilus Tahitiens</w:t>
            </w:r>
          </w:p>
          <w:p w:rsidR="00B02272" w:rsidRPr="00C156EB" w:rsidRDefault="005133CE">
            <w:pPr>
              <w:pStyle w:val="ContactInformation"/>
              <w:rPr>
                <w:color w:val="auto"/>
                <w:lang w:val="fr-FR"/>
              </w:rPr>
            </w:pPr>
            <w:r w:rsidRPr="00C156EB">
              <w:rPr>
                <w:color w:val="auto"/>
                <w:lang w:val="fr-FR"/>
              </w:rPr>
              <w:t>Papeete / Polynésie française</w:t>
            </w:r>
          </w:p>
          <w:p w:rsidR="00B02272" w:rsidRPr="00491FBE" w:rsidRDefault="005133CE" w:rsidP="00491FBE">
            <w:pPr>
              <w:pStyle w:val="ContactInformation"/>
              <w:rPr>
                <w:color w:val="auto"/>
              </w:rPr>
            </w:pPr>
            <w:r w:rsidRPr="00491FBE">
              <w:rPr>
                <w:color w:val="auto"/>
              </w:rPr>
              <w:t>www.vanilledetahiti.com</w:t>
            </w:r>
          </w:p>
        </w:tc>
        <w:tc>
          <w:tcPr>
            <w:tcW w:w="5105" w:type="dxa"/>
            <w:tcBorders>
              <w:top w:val="nil"/>
              <w:left w:val="nil"/>
              <w:bottom w:val="single" w:sz="4" w:space="0" w:color="2A5A78"/>
              <w:right w:val="nil"/>
            </w:tcBorders>
            <w:vAlign w:val="center"/>
          </w:tcPr>
          <w:p w:rsidR="00B02272" w:rsidRDefault="005133CE">
            <w:pPr>
              <w:pStyle w:val="Titre2"/>
            </w:pPr>
            <w:r>
              <w:rPr>
                <w:rFonts w:ascii="Arial" w:hAnsi="Arial"/>
                <w:noProof/>
                <w:sz w:val="20"/>
                <w:lang w:val="fr-FR" w:eastAsia="fr-FR"/>
              </w:rPr>
              <w:drawing>
                <wp:inline distT="0" distB="0" distL="0" distR="0">
                  <wp:extent cx="2590800" cy="942975"/>
                  <wp:effectExtent l="19050" t="0" r="0" b="0"/>
                  <wp:docPr id="1" name="Image 2" descr=":::VANILLE DE TAHITI:LOGOTYPE:Vanille-EVT-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ANILLE DE TAHITI:LOGOTYPE:Vanille-EVT-horiz.jpg"/>
                          <pic:cNvPicPr>
                            <a:picLocks noChangeAspect="1" noChangeArrowheads="1"/>
                          </pic:cNvPicPr>
                        </pic:nvPicPr>
                        <pic:blipFill>
                          <a:blip r:embed="rId7" cstate="print"/>
                          <a:srcRect/>
                          <a:stretch>
                            <a:fillRect/>
                          </a:stretch>
                        </pic:blipFill>
                        <pic:spPr bwMode="auto">
                          <a:xfrm>
                            <a:off x="0" y="0"/>
                            <a:ext cx="2590800" cy="942975"/>
                          </a:xfrm>
                          <a:prstGeom prst="rect">
                            <a:avLst/>
                          </a:prstGeom>
                          <a:noFill/>
                          <a:ln w="9525">
                            <a:noFill/>
                            <a:miter lim="800000"/>
                            <a:headEnd/>
                            <a:tailEnd/>
                          </a:ln>
                        </pic:spPr>
                      </pic:pic>
                    </a:graphicData>
                  </a:graphic>
                </wp:inline>
              </w:drawing>
            </w:r>
          </w:p>
        </w:tc>
      </w:tr>
    </w:tbl>
    <w:p w:rsidR="00EE72D2" w:rsidRDefault="00363127" w:rsidP="00EE72D2">
      <w:pPr>
        <w:pStyle w:val="Titre1"/>
        <w:spacing w:before="600"/>
        <w:jc w:val="center"/>
        <w:rPr>
          <w:b/>
          <w:color w:val="auto"/>
          <w:sz w:val="40"/>
          <w:szCs w:val="52"/>
          <w:lang w:val="fr-FR"/>
        </w:rPr>
      </w:pPr>
    </w:p>
    <w:p w:rsidR="00B02272" w:rsidRPr="00EE72D2" w:rsidRDefault="005576FA" w:rsidP="00EE72D2">
      <w:pPr>
        <w:pStyle w:val="Titre1"/>
        <w:spacing w:before="600"/>
        <w:jc w:val="center"/>
        <w:rPr>
          <w:b/>
          <w:color w:val="auto"/>
          <w:sz w:val="40"/>
          <w:szCs w:val="52"/>
          <w:lang w:val="fr-FR"/>
        </w:rPr>
      </w:pPr>
      <w:r>
        <w:rPr>
          <w:b/>
          <w:color w:val="auto"/>
          <w:sz w:val="40"/>
          <w:szCs w:val="52"/>
          <w:lang w:val="fr-FR"/>
        </w:rPr>
        <w:t>COMMUNIQUE DE</w:t>
      </w:r>
      <w:r w:rsidR="005133CE" w:rsidRPr="00EE72D2">
        <w:rPr>
          <w:b/>
          <w:color w:val="auto"/>
          <w:sz w:val="40"/>
          <w:szCs w:val="52"/>
          <w:lang w:val="fr-FR"/>
        </w:rPr>
        <w:t xml:space="preserve"> presse</w:t>
      </w:r>
    </w:p>
    <w:p w:rsidR="00EE72D2" w:rsidRDefault="005133CE" w:rsidP="00EE72D2">
      <w:pPr>
        <w:pStyle w:val="Subhead"/>
        <w:spacing w:after="360"/>
        <w:jc w:val="center"/>
        <w:rPr>
          <w:color w:val="auto"/>
          <w:sz w:val="24"/>
          <w:lang w:val="fr-FR"/>
        </w:rPr>
      </w:pPr>
      <w:r>
        <w:rPr>
          <w:color w:val="auto"/>
          <w:sz w:val="24"/>
          <w:lang w:val="fr-FR"/>
        </w:rPr>
        <w:t>Conférence de Presse de l’Etablissement Vanille de Tahiti</w:t>
      </w:r>
    </w:p>
    <w:p w:rsidR="004D3F2B" w:rsidRPr="00EE72D2" w:rsidRDefault="005133CE" w:rsidP="00EE72D2">
      <w:pPr>
        <w:pStyle w:val="Subhead"/>
        <w:spacing w:after="360"/>
        <w:jc w:val="center"/>
        <w:rPr>
          <w:color w:val="auto"/>
          <w:sz w:val="24"/>
          <w:lang w:val="fr-FR"/>
        </w:rPr>
      </w:pPr>
      <w:r w:rsidRPr="00EE72D2">
        <w:rPr>
          <w:color w:val="auto"/>
          <w:sz w:val="24"/>
          <w:lang w:val="fr-FR"/>
        </w:rPr>
        <w:t>Mardi 16 avril 2013 à 9h</w:t>
      </w:r>
      <w:r w:rsidR="00365930">
        <w:rPr>
          <w:color w:val="auto"/>
          <w:sz w:val="24"/>
          <w:lang w:val="fr-FR"/>
        </w:rPr>
        <w:t>30</w:t>
      </w:r>
      <w:r w:rsidRPr="00EE72D2">
        <w:rPr>
          <w:color w:val="auto"/>
          <w:sz w:val="24"/>
          <w:lang w:val="fr-FR"/>
        </w:rPr>
        <w:t xml:space="preserve"> au Ministère de l’agriculture, route de l’Hippodrome.</w:t>
      </w:r>
    </w:p>
    <w:p w:rsidR="004D3F2B" w:rsidRPr="00EE72D2" w:rsidRDefault="005133CE" w:rsidP="00EE72D2">
      <w:pPr>
        <w:pStyle w:val="Titre3"/>
        <w:jc w:val="center"/>
        <w:rPr>
          <w:color w:val="auto"/>
          <w:sz w:val="24"/>
          <w:lang w:val="fr-FR"/>
        </w:rPr>
      </w:pPr>
      <w:r w:rsidRPr="00EE72D2">
        <w:rPr>
          <w:color w:val="auto"/>
          <w:sz w:val="24"/>
          <w:lang w:val="fr-FR"/>
        </w:rPr>
        <w:t>2 sujets seront abordés à cette occasion :</w:t>
      </w:r>
    </w:p>
    <w:p w:rsidR="004D3F2B" w:rsidRPr="00EE72D2" w:rsidRDefault="00363127" w:rsidP="00EE72D2">
      <w:pPr>
        <w:jc w:val="center"/>
        <w:rPr>
          <w:sz w:val="24"/>
        </w:rPr>
      </w:pPr>
    </w:p>
    <w:p w:rsidR="004D3F2B" w:rsidRPr="00EE72D2" w:rsidRDefault="005133CE" w:rsidP="00EE72D2">
      <w:pPr>
        <w:jc w:val="center"/>
        <w:rPr>
          <w:b/>
          <w:sz w:val="24"/>
        </w:rPr>
      </w:pPr>
      <w:r w:rsidRPr="00EE72D2">
        <w:rPr>
          <w:b/>
          <w:sz w:val="24"/>
        </w:rPr>
        <w:t>Modernisation</w:t>
      </w:r>
    </w:p>
    <w:p w:rsidR="004D3F2B" w:rsidRPr="00EE72D2" w:rsidRDefault="005133CE" w:rsidP="00EE72D2">
      <w:pPr>
        <w:pStyle w:val="Titre3"/>
        <w:jc w:val="center"/>
        <w:rPr>
          <w:b/>
          <w:color w:val="76923C"/>
          <w:sz w:val="24"/>
          <w:lang w:val="fr-FR"/>
        </w:rPr>
      </w:pPr>
      <w:r w:rsidRPr="00EE72D2">
        <w:rPr>
          <w:b/>
          <w:color w:val="76923C"/>
          <w:sz w:val="24"/>
          <w:lang w:val="fr-FR"/>
        </w:rPr>
        <w:t>La filière de vanille de Tahiti  se met à la page !</w:t>
      </w:r>
      <w:r w:rsidRPr="00EE72D2">
        <w:rPr>
          <w:b/>
          <w:color w:val="76923C"/>
          <w:sz w:val="24"/>
          <w:lang w:val="fr-FR"/>
        </w:rPr>
        <w:br/>
        <w:t>Présentation du logiciel VANIRA développé par l’Ets Vanille de Tahiti.</w:t>
      </w:r>
    </w:p>
    <w:p w:rsidR="004D3F2B" w:rsidRPr="00EE72D2" w:rsidRDefault="005133CE" w:rsidP="00EE72D2">
      <w:pPr>
        <w:pStyle w:val="Titre3"/>
        <w:jc w:val="center"/>
        <w:rPr>
          <w:b/>
          <w:color w:val="auto"/>
          <w:sz w:val="24"/>
          <w:lang w:val="fr-FR"/>
        </w:rPr>
      </w:pPr>
      <w:r w:rsidRPr="00EE72D2">
        <w:rPr>
          <w:b/>
          <w:color w:val="auto"/>
          <w:sz w:val="24"/>
          <w:lang w:val="fr-FR"/>
        </w:rPr>
        <w:t>Formation</w:t>
      </w:r>
    </w:p>
    <w:p w:rsidR="004D3F2B" w:rsidRPr="00EE72D2" w:rsidRDefault="005133CE" w:rsidP="00EE72D2">
      <w:pPr>
        <w:pStyle w:val="Titre3"/>
        <w:jc w:val="center"/>
        <w:rPr>
          <w:b/>
          <w:color w:val="76923C"/>
          <w:sz w:val="24"/>
          <w:lang w:val="fr-FR"/>
        </w:rPr>
      </w:pPr>
      <w:r w:rsidRPr="00EE72D2">
        <w:rPr>
          <w:b/>
          <w:color w:val="76923C"/>
          <w:sz w:val="24"/>
          <w:lang w:val="fr-FR"/>
        </w:rPr>
        <w:t xml:space="preserve">Nouveau « cru »  de préparateurs de vanille de Tahiti </w:t>
      </w:r>
      <w:r w:rsidRPr="00EE72D2">
        <w:rPr>
          <w:b/>
          <w:color w:val="76923C"/>
          <w:sz w:val="24"/>
          <w:lang w:val="fr-FR"/>
        </w:rPr>
        <w:br/>
        <w:t>11 diplômes de préparateurs remis par le ministre en charge de l’agriculture</w:t>
      </w:r>
    </w:p>
    <w:p w:rsidR="00EE72D2" w:rsidRDefault="00363127" w:rsidP="00EE72D2">
      <w:pPr>
        <w:jc w:val="both"/>
        <w:rPr>
          <w:sz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58"/>
        <w:gridCol w:w="2228"/>
        <w:gridCol w:w="3590"/>
      </w:tblGrid>
      <w:tr w:rsidR="00EE72D2" w:rsidRPr="00EE72D2">
        <w:tc>
          <w:tcPr>
            <w:tcW w:w="3758" w:type="dxa"/>
          </w:tcPr>
          <w:p w:rsidR="00EE72D2" w:rsidRPr="00EE72D2" w:rsidRDefault="005133CE" w:rsidP="00EE72D2">
            <w:pPr>
              <w:pStyle w:val="Text"/>
              <w:spacing w:line="240" w:lineRule="auto"/>
              <w:jc w:val="both"/>
              <w:rPr>
                <w:sz w:val="24"/>
                <w:lang w:val="fr-FR"/>
              </w:rPr>
            </w:pPr>
            <w:r w:rsidRPr="00EE72D2">
              <w:rPr>
                <w:noProof/>
                <w:sz w:val="24"/>
                <w:lang w:val="fr-FR" w:eastAsia="fr-FR"/>
              </w:rPr>
              <w:drawing>
                <wp:inline distT="0" distB="0" distL="0" distR="0">
                  <wp:extent cx="2357421" cy="1567685"/>
                  <wp:effectExtent l="19050" t="0" r="4779" b="0"/>
                  <wp:docPr id="5" name="Image 1" descr="12-12-VNL-0403.jpg"/>
                  <wp:cNvGraphicFramePr/>
                  <a:graphic xmlns:a="http://schemas.openxmlformats.org/drawingml/2006/main">
                    <a:graphicData uri="http://schemas.openxmlformats.org/drawingml/2006/picture">
                      <pic:pic xmlns:pic="http://schemas.openxmlformats.org/drawingml/2006/picture">
                        <pic:nvPicPr>
                          <pic:cNvPr id="0" name="Image 4" descr="12-12-VNL-0403.jpg"/>
                          <pic:cNvPicPr>
                            <a:picLocks noChangeAspect="1"/>
                          </pic:cNvPicPr>
                        </pic:nvPicPr>
                        <pic:blipFill>
                          <a:blip r:embed="rId8" cstate="print"/>
                          <a:stretch>
                            <a:fillRect/>
                          </a:stretch>
                        </pic:blipFill>
                        <pic:spPr>
                          <a:xfrm>
                            <a:off x="0" y="0"/>
                            <a:ext cx="2357421" cy="1567685"/>
                          </a:xfrm>
                          <a:prstGeom prst="rect">
                            <a:avLst/>
                          </a:prstGeom>
                        </pic:spPr>
                      </pic:pic>
                    </a:graphicData>
                  </a:graphic>
                </wp:inline>
              </w:drawing>
            </w:r>
          </w:p>
        </w:tc>
        <w:tc>
          <w:tcPr>
            <w:tcW w:w="2228" w:type="dxa"/>
          </w:tcPr>
          <w:p w:rsidR="00EE72D2" w:rsidRPr="00EE72D2" w:rsidRDefault="005133CE" w:rsidP="00EE72D2">
            <w:pPr>
              <w:pStyle w:val="Text"/>
              <w:spacing w:line="240" w:lineRule="auto"/>
              <w:jc w:val="both"/>
              <w:rPr>
                <w:sz w:val="24"/>
                <w:lang w:val="fr-FR"/>
              </w:rPr>
            </w:pPr>
            <w:r w:rsidRPr="00EE72D2">
              <w:rPr>
                <w:noProof/>
                <w:sz w:val="24"/>
                <w:lang w:val="fr-FR" w:eastAsia="fr-FR"/>
              </w:rPr>
              <w:drawing>
                <wp:inline distT="0" distB="0" distL="0" distR="0">
                  <wp:extent cx="1333494" cy="2000240"/>
                  <wp:effectExtent l="19050" t="0" r="6" b="0"/>
                  <wp:docPr id="6" name="Image 2" descr="12-12-VNL-0473.jpg"/>
                  <wp:cNvGraphicFramePr/>
                  <a:graphic xmlns:a="http://schemas.openxmlformats.org/drawingml/2006/main">
                    <a:graphicData uri="http://schemas.openxmlformats.org/drawingml/2006/picture">
                      <pic:pic xmlns:pic="http://schemas.openxmlformats.org/drawingml/2006/picture">
                        <pic:nvPicPr>
                          <pic:cNvPr id="0" name="Image 7" descr="12-12-VNL-0473.jpg"/>
                          <pic:cNvPicPr>
                            <a:picLocks noChangeAspect="1"/>
                          </pic:cNvPicPr>
                        </pic:nvPicPr>
                        <pic:blipFill>
                          <a:blip r:embed="rId9" cstate="print"/>
                          <a:stretch>
                            <a:fillRect/>
                          </a:stretch>
                        </pic:blipFill>
                        <pic:spPr>
                          <a:xfrm>
                            <a:off x="0" y="0"/>
                            <a:ext cx="1333494" cy="2000240"/>
                          </a:xfrm>
                          <a:prstGeom prst="rect">
                            <a:avLst/>
                          </a:prstGeom>
                        </pic:spPr>
                      </pic:pic>
                    </a:graphicData>
                  </a:graphic>
                </wp:inline>
              </w:drawing>
            </w:r>
          </w:p>
        </w:tc>
        <w:tc>
          <w:tcPr>
            <w:tcW w:w="3590" w:type="dxa"/>
          </w:tcPr>
          <w:p w:rsidR="00EE72D2" w:rsidRPr="00EE72D2" w:rsidRDefault="005133CE" w:rsidP="00EE72D2">
            <w:pPr>
              <w:pStyle w:val="Text"/>
              <w:spacing w:line="240" w:lineRule="auto"/>
              <w:jc w:val="both"/>
              <w:rPr>
                <w:sz w:val="24"/>
                <w:lang w:val="fr-FR"/>
              </w:rPr>
            </w:pPr>
            <w:r w:rsidRPr="00EE72D2">
              <w:rPr>
                <w:noProof/>
                <w:sz w:val="24"/>
                <w:lang w:val="fr-FR" w:eastAsia="fr-FR"/>
              </w:rPr>
              <w:drawing>
                <wp:inline distT="0" distB="0" distL="0" distR="0">
                  <wp:extent cx="2248724" cy="1498212"/>
                  <wp:effectExtent l="19050" t="0" r="0" b="0"/>
                  <wp:docPr id="10" name="Image 3" descr="12-12-VNL-0635.jpg"/>
                  <wp:cNvGraphicFramePr/>
                  <a:graphic xmlns:a="http://schemas.openxmlformats.org/drawingml/2006/main">
                    <a:graphicData uri="http://schemas.openxmlformats.org/drawingml/2006/picture">
                      <pic:pic xmlns:pic="http://schemas.openxmlformats.org/drawingml/2006/picture">
                        <pic:nvPicPr>
                          <pic:cNvPr id="0" name="Image 6" descr="12-12-VNL-0635.jpg"/>
                          <pic:cNvPicPr>
                            <a:picLocks noChangeAspect="1"/>
                          </pic:cNvPicPr>
                        </pic:nvPicPr>
                        <pic:blipFill>
                          <a:blip r:embed="rId10" cstate="print"/>
                          <a:stretch>
                            <a:fillRect/>
                          </a:stretch>
                        </pic:blipFill>
                        <pic:spPr>
                          <a:xfrm>
                            <a:off x="0" y="0"/>
                            <a:ext cx="2248724" cy="1498212"/>
                          </a:xfrm>
                          <a:prstGeom prst="rect">
                            <a:avLst/>
                          </a:prstGeom>
                        </pic:spPr>
                      </pic:pic>
                    </a:graphicData>
                  </a:graphic>
                </wp:inline>
              </w:drawing>
            </w:r>
          </w:p>
        </w:tc>
      </w:tr>
    </w:tbl>
    <w:p w:rsidR="00B02272" w:rsidRPr="00EE72D2" w:rsidRDefault="00363127" w:rsidP="00EE72D2">
      <w:pPr>
        <w:jc w:val="both"/>
        <w:rPr>
          <w:sz w:val="24"/>
        </w:rPr>
      </w:pPr>
    </w:p>
    <w:p w:rsidR="004D3F2B" w:rsidRPr="00EE72D2" w:rsidRDefault="005133CE" w:rsidP="00EE72D2">
      <w:pPr>
        <w:spacing w:line="360" w:lineRule="auto"/>
        <w:jc w:val="both"/>
        <w:rPr>
          <w:sz w:val="24"/>
        </w:rPr>
      </w:pPr>
      <w:r>
        <w:rPr>
          <w:rFonts w:cs="Times New Roman"/>
          <w:b/>
          <w:spacing w:val="0"/>
          <w:sz w:val="24"/>
          <w:szCs w:val="20"/>
          <w:lang w:val="fr-FR" w:eastAsia="fr-FR"/>
        </w:rPr>
        <w:br w:type="page"/>
      </w:r>
      <w:r w:rsidRPr="00EE72D2">
        <w:rPr>
          <w:sz w:val="24"/>
        </w:rPr>
        <w:t xml:space="preserve">Suivant les chiffres d’exportation de vanilles par année civile publiés par l’ISPF, il apparaît que l’année 2012 a été une année record avec plus de </w:t>
      </w:r>
      <w:r w:rsidRPr="00EE72D2">
        <w:rPr>
          <w:b/>
          <w:sz w:val="24"/>
        </w:rPr>
        <w:t>16,880 tonnes de gousses de vanille exportées pour un montant de 298 848 179 FCFP.</w:t>
      </w:r>
    </w:p>
    <w:p w:rsidR="004D3F2B" w:rsidRPr="00EE72D2" w:rsidRDefault="005133CE" w:rsidP="00EE72D2">
      <w:pPr>
        <w:spacing w:line="360" w:lineRule="auto"/>
        <w:jc w:val="both"/>
        <w:rPr>
          <w:b/>
          <w:sz w:val="24"/>
        </w:rPr>
      </w:pPr>
      <w:r w:rsidRPr="00EE72D2">
        <w:rPr>
          <w:b/>
          <w:sz w:val="24"/>
        </w:rPr>
        <w:t>Ce volume d’export n’avait plus été atteint depuis 20 ans.</w:t>
      </w:r>
    </w:p>
    <w:p w:rsidR="00EE72D2" w:rsidRDefault="00363127" w:rsidP="00EE72D2">
      <w:pPr>
        <w:spacing w:line="360" w:lineRule="auto"/>
        <w:jc w:val="both"/>
        <w:rPr>
          <w:sz w:val="24"/>
        </w:rPr>
      </w:pPr>
    </w:p>
    <w:p w:rsidR="00CD242F" w:rsidRPr="00EE72D2" w:rsidRDefault="005133CE" w:rsidP="00EE72D2">
      <w:pPr>
        <w:spacing w:line="360" w:lineRule="auto"/>
        <w:jc w:val="both"/>
        <w:rPr>
          <w:sz w:val="24"/>
        </w:rPr>
      </w:pPr>
      <w:r w:rsidRPr="00EE72D2">
        <w:rPr>
          <w:sz w:val="24"/>
        </w:rPr>
        <w:t>L’année 2012 aura été une belle année pour les quelques 728 producteurs de vanille (829 exploitations) qui ont produit 45,872 tonnes de vanilles mûres vendues au prix moyen de 5101 FCFP le kilo.  (tableau 1 en annexe)</w:t>
      </w:r>
    </w:p>
    <w:p w:rsidR="00867FEB" w:rsidRPr="00EE72D2" w:rsidRDefault="005133CE" w:rsidP="00EE72D2">
      <w:pPr>
        <w:spacing w:line="360" w:lineRule="auto"/>
        <w:jc w:val="both"/>
        <w:rPr>
          <w:sz w:val="24"/>
        </w:rPr>
      </w:pPr>
      <w:r w:rsidRPr="00EE72D2">
        <w:rPr>
          <w:sz w:val="24"/>
        </w:rPr>
        <w:t>Pour ce faire, les préparateurs et/ou les exportateurs de vanille de Tahiti ont été très dynamiques sur le marché : ils ont  renforcé leurs actions de promotion de ce produit d’exception et on maintenu leurs tarifs malgré la hausse de la matière première (tableau 2 en annexe).</w:t>
      </w:r>
    </w:p>
    <w:p w:rsidR="00F162FD" w:rsidRPr="00EE72D2" w:rsidRDefault="00363127" w:rsidP="00EE72D2">
      <w:pPr>
        <w:pStyle w:val="Retraitcorpsdetexte"/>
        <w:ind w:left="0"/>
        <w:jc w:val="both"/>
        <w:rPr>
          <w:rFonts w:ascii="Century Gothic" w:hAnsi="Century Gothic"/>
          <w:szCs w:val="20"/>
        </w:rPr>
      </w:pPr>
    </w:p>
    <w:p w:rsidR="00E639E9" w:rsidRPr="00EE72D2" w:rsidRDefault="005133CE" w:rsidP="00EE72D2">
      <w:pPr>
        <w:pStyle w:val="Retraitcorpsdetexte"/>
        <w:spacing w:line="360" w:lineRule="auto"/>
        <w:ind w:left="0"/>
        <w:jc w:val="both"/>
        <w:rPr>
          <w:rFonts w:ascii="Century Gothic" w:hAnsi="Century Gothic"/>
          <w:b/>
          <w:szCs w:val="20"/>
        </w:rPr>
      </w:pPr>
      <w:r w:rsidRPr="00EE72D2">
        <w:rPr>
          <w:rFonts w:ascii="Century Gothic" w:hAnsi="Century Gothic"/>
          <w:b/>
          <w:szCs w:val="20"/>
        </w:rPr>
        <w:t>Modernisation des outils de suivi de la filière vanille :</w:t>
      </w:r>
    </w:p>
    <w:p w:rsidR="00E639E9" w:rsidRPr="00EE72D2" w:rsidRDefault="005133CE" w:rsidP="00EE72D2">
      <w:pPr>
        <w:pStyle w:val="Retraitcorpsdetexte"/>
        <w:spacing w:line="360" w:lineRule="auto"/>
        <w:ind w:left="0"/>
        <w:jc w:val="both"/>
        <w:rPr>
          <w:rFonts w:ascii="Century Gothic" w:hAnsi="Century Gothic"/>
          <w:szCs w:val="20"/>
        </w:rPr>
      </w:pPr>
      <w:r w:rsidRPr="00EE72D2">
        <w:rPr>
          <w:rFonts w:ascii="Century Gothic" w:hAnsi="Century Gothic"/>
          <w:szCs w:val="20"/>
        </w:rPr>
        <w:t xml:space="preserve">Avec un plan d’allègement des charges et une restructuration de l’organisme mis en œuvre en 2012, l’Ets. Vanille de Tahiti a trouvé le moyen de poursuivre ses missions de suivis et d’assistance à la filière avec beaucoup moins de personnels. </w:t>
      </w:r>
    </w:p>
    <w:p w:rsidR="00E639E9" w:rsidRPr="00EE72D2" w:rsidRDefault="005133CE" w:rsidP="00EE72D2">
      <w:pPr>
        <w:pStyle w:val="Retraitcorpsdetexte"/>
        <w:spacing w:line="360" w:lineRule="auto"/>
        <w:ind w:left="0"/>
        <w:jc w:val="both"/>
        <w:rPr>
          <w:rFonts w:ascii="Century Gothic" w:hAnsi="Century Gothic"/>
          <w:szCs w:val="20"/>
        </w:rPr>
      </w:pPr>
      <w:r w:rsidRPr="00EE72D2">
        <w:rPr>
          <w:rFonts w:ascii="Century Gothic" w:hAnsi="Century Gothic"/>
          <w:szCs w:val="20"/>
        </w:rPr>
        <w:t>En effet, sur les conseils des missionnaires des inspecteurs du ministère de l’agriculture métropolitain, l’Ets Vanille de Tahiti s’est doté d’un logiciel fonctionnel et automatisé d’acquisition des données de terrain à la production réalisé 100% localement.</w:t>
      </w:r>
    </w:p>
    <w:p w:rsidR="00DA1FC3" w:rsidRPr="00EE72D2" w:rsidRDefault="005133CE" w:rsidP="00EE72D2">
      <w:pPr>
        <w:pStyle w:val="Retraitcorpsdetexte"/>
        <w:spacing w:line="360" w:lineRule="auto"/>
        <w:ind w:left="0"/>
        <w:jc w:val="both"/>
        <w:rPr>
          <w:rFonts w:ascii="Century Gothic" w:hAnsi="Century Gothic"/>
          <w:szCs w:val="20"/>
        </w:rPr>
      </w:pPr>
      <w:r w:rsidRPr="00EE72D2">
        <w:rPr>
          <w:rFonts w:ascii="Century Gothic" w:hAnsi="Century Gothic"/>
          <w:szCs w:val="20"/>
        </w:rPr>
        <w:t xml:space="preserve">Ce suivi permettra de vérifier, d’anticiper les tendances de toute la filière et surtout de guider l’intervention et les actions des techniciens de l’établissement qui doivent être réactifs et autonomes. </w:t>
      </w:r>
    </w:p>
    <w:p w:rsidR="004D3F2B" w:rsidRPr="00EE72D2" w:rsidRDefault="005133CE" w:rsidP="00EE72D2">
      <w:pPr>
        <w:pStyle w:val="Retraitcorpsdetexte"/>
        <w:spacing w:line="360" w:lineRule="auto"/>
        <w:ind w:left="0"/>
        <w:jc w:val="both"/>
        <w:rPr>
          <w:rFonts w:ascii="Century Gothic" w:hAnsi="Century Gothic"/>
          <w:szCs w:val="20"/>
        </w:rPr>
      </w:pPr>
      <w:r w:rsidRPr="00EE72D2">
        <w:rPr>
          <w:rFonts w:ascii="Century Gothic" w:hAnsi="Century Gothic"/>
          <w:szCs w:val="20"/>
        </w:rPr>
        <w:t>Les concepteurs et l’Ets. Vanille de Tahiti pensent déjà à amortir la conception de ce nouvel logiciel qui devrait être proposé à d’autres pays producteurs de vanille mais aussi à d’autres services chargés du suivi agricole.</w:t>
      </w:r>
    </w:p>
    <w:p w:rsidR="004D3F2B" w:rsidRPr="00EE72D2" w:rsidRDefault="005133CE" w:rsidP="00EE72D2">
      <w:pPr>
        <w:pStyle w:val="Titre3"/>
        <w:spacing w:line="360" w:lineRule="auto"/>
        <w:rPr>
          <w:lang w:val="fr-FR"/>
        </w:rPr>
      </w:pPr>
      <w:r w:rsidRPr="00EE72D2">
        <w:rPr>
          <w:color w:val="76923C"/>
          <w:lang w:val="fr-FR"/>
        </w:rPr>
        <w:t xml:space="preserve">Nouveau « cru »  de préparateurs de vanille de Tahiti </w:t>
      </w:r>
      <w:r w:rsidRPr="00EE72D2">
        <w:rPr>
          <w:color w:val="76923C"/>
          <w:lang w:val="fr-FR"/>
        </w:rPr>
        <w:br/>
      </w:r>
      <w:r w:rsidRPr="00EE72D2">
        <w:rPr>
          <w:lang w:val="fr-FR"/>
        </w:rPr>
        <w:t>Considérée comme un produit haut de gamme par les professionnels de la gastronomie, la vanille de Tahiti est réputée pour sa robe brillante et souple mais aussi et surtout pour son arôme puissant, complexe et spécifique. Avec des notes plus caramélisées et plus anisées, la vanille x</w:t>
      </w:r>
      <w:r w:rsidRPr="00EE72D2">
        <w:rPr>
          <w:i/>
          <w:lang w:val="fr-FR"/>
        </w:rPr>
        <w:t>tahitensis</w:t>
      </w:r>
      <w:r w:rsidRPr="00EE72D2">
        <w:rPr>
          <w:lang w:val="fr-FR"/>
        </w:rPr>
        <w:t xml:space="preserve"> se distingue des autres vanilles du monde.  </w:t>
      </w:r>
    </w:p>
    <w:p w:rsidR="004D3F2B" w:rsidRPr="00EE72D2" w:rsidRDefault="005133CE" w:rsidP="00EE72D2">
      <w:pPr>
        <w:widowControl w:val="0"/>
        <w:autoSpaceDE w:val="0"/>
        <w:autoSpaceDN w:val="0"/>
        <w:adjustRightInd w:val="0"/>
        <w:spacing w:line="360" w:lineRule="auto"/>
        <w:jc w:val="both"/>
        <w:rPr>
          <w:rFonts w:cs="Helvetica"/>
          <w:b/>
          <w:color w:val="1D1B11"/>
          <w:sz w:val="24"/>
          <w:lang w:val="fr-FR"/>
        </w:rPr>
      </w:pPr>
      <w:r w:rsidRPr="00EE72D2">
        <w:rPr>
          <w:rFonts w:cs="Helvetica"/>
          <w:b/>
          <w:color w:val="1D1B11"/>
          <w:sz w:val="24"/>
          <w:lang w:val="fr-FR"/>
        </w:rPr>
        <w:t>Sa préparation constitue un savoir-faire ancestral et naturel propre aux Polynésiens.</w:t>
      </w:r>
    </w:p>
    <w:p w:rsidR="004D3F2B" w:rsidRPr="00EE72D2" w:rsidRDefault="005133CE" w:rsidP="00EE72D2">
      <w:pPr>
        <w:widowControl w:val="0"/>
        <w:autoSpaceDE w:val="0"/>
        <w:autoSpaceDN w:val="0"/>
        <w:adjustRightInd w:val="0"/>
        <w:spacing w:before="120" w:line="360" w:lineRule="auto"/>
        <w:jc w:val="both"/>
        <w:rPr>
          <w:rFonts w:cs="Helvetica"/>
          <w:color w:val="1D1B11"/>
          <w:sz w:val="24"/>
          <w:lang w:val="fr-FR"/>
        </w:rPr>
      </w:pPr>
      <w:r w:rsidRPr="00EE72D2">
        <w:rPr>
          <w:rFonts w:cs="Helvetica"/>
          <w:color w:val="1D1B11"/>
          <w:sz w:val="24"/>
          <w:lang w:val="fr-FR"/>
        </w:rPr>
        <w:t>A partir de la récolte des précieuses gousses de vanilles mûres, les 200 molécules aromatiques qui composent l’arôme de cet épice unique et rare dévoileront tout leur potentiel qu’à l’issue de l’étape dite de « préparation ».</w:t>
      </w:r>
    </w:p>
    <w:p w:rsidR="00EE72D2" w:rsidRPr="00EE72D2" w:rsidRDefault="005133CE" w:rsidP="00EE72D2">
      <w:pPr>
        <w:autoSpaceDE w:val="0"/>
        <w:autoSpaceDN w:val="0"/>
        <w:adjustRightInd w:val="0"/>
        <w:spacing w:before="120" w:line="360" w:lineRule="auto"/>
        <w:jc w:val="both"/>
        <w:rPr>
          <w:rFonts w:cs="Times New Roman"/>
          <w:color w:val="1D1B11"/>
          <w:sz w:val="24"/>
          <w:lang w:val="fr-FR"/>
        </w:rPr>
      </w:pPr>
      <w:r w:rsidRPr="00EE72D2">
        <w:rPr>
          <w:rFonts w:cs="Times New Roman"/>
          <w:b/>
          <w:color w:val="1D1B11"/>
          <w:sz w:val="24"/>
          <w:lang w:val="fr-FR"/>
        </w:rPr>
        <w:t>Parce que ce savoir-faire doit perdurer</w:t>
      </w:r>
      <w:r w:rsidRPr="00EE72D2">
        <w:rPr>
          <w:rFonts w:cs="Times New Roman"/>
          <w:color w:val="1D1B11"/>
          <w:sz w:val="24"/>
          <w:lang w:val="fr-FR"/>
        </w:rPr>
        <w:t xml:space="preserve"> et afin </w:t>
      </w:r>
      <w:r w:rsidRPr="00EE72D2">
        <w:rPr>
          <w:rFonts w:cs="Times New Roman"/>
          <w:b/>
          <w:color w:val="1D1B11"/>
          <w:sz w:val="24"/>
          <w:lang w:val="fr-FR"/>
        </w:rPr>
        <w:t>de garantir une vanille de qualité</w:t>
      </w:r>
      <w:r w:rsidRPr="00EE72D2">
        <w:rPr>
          <w:rFonts w:cs="Times New Roman"/>
          <w:color w:val="1D1B11"/>
          <w:sz w:val="24"/>
          <w:lang w:val="fr-FR"/>
        </w:rPr>
        <w:t xml:space="preserve"> irréprochable et homogène, l’établissement Vanille de Tahiti propose des FORMATIONS AU METIER DE PREPARATEUR DE VANILLE. </w:t>
      </w:r>
    </w:p>
    <w:p w:rsidR="00EE72D2" w:rsidRPr="00EE72D2" w:rsidRDefault="005133CE" w:rsidP="00EE72D2">
      <w:pPr>
        <w:autoSpaceDE w:val="0"/>
        <w:autoSpaceDN w:val="0"/>
        <w:adjustRightInd w:val="0"/>
        <w:spacing w:before="120" w:line="360" w:lineRule="auto"/>
        <w:jc w:val="both"/>
        <w:rPr>
          <w:color w:val="1D1B11"/>
          <w:sz w:val="24"/>
          <w:lang w:val="fr-FR"/>
        </w:rPr>
      </w:pPr>
      <w:r w:rsidRPr="00EE72D2">
        <w:rPr>
          <w:rFonts w:cs="Times New Roman"/>
          <w:color w:val="1D1B11"/>
          <w:sz w:val="24"/>
          <w:lang w:val="fr-FR"/>
        </w:rPr>
        <w:t>Dans ce cadre, u</w:t>
      </w:r>
      <w:r w:rsidRPr="00EE72D2">
        <w:rPr>
          <w:color w:val="1D1B11"/>
          <w:sz w:val="24"/>
          <w:lang w:val="fr-FR"/>
        </w:rPr>
        <w:t>ne douzaine de personnes ont suivi la session de</w:t>
      </w:r>
      <w:r w:rsidRPr="00EE72D2">
        <w:rPr>
          <w:rFonts w:cs="Times New Roman"/>
          <w:color w:val="1D1B11"/>
          <w:sz w:val="24"/>
          <w:lang w:val="fr-FR"/>
        </w:rPr>
        <w:t xml:space="preserve"> formation organisée </w:t>
      </w:r>
      <w:r w:rsidRPr="00EE72D2">
        <w:rPr>
          <w:color w:val="1D1B11"/>
          <w:sz w:val="24"/>
          <w:lang w:val="fr-FR"/>
        </w:rPr>
        <w:t xml:space="preserve">en septembre 2012 avec le partenariat de TAHITIAN GOLD et de l’Hôtel INTERCONTINENTAL TAHITI. </w:t>
      </w:r>
    </w:p>
    <w:p w:rsidR="004D3F2B" w:rsidRPr="00EE72D2" w:rsidRDefault="005133CE" w:rsidP="00EE72D2">
      <w:pPr>
        <w:autoSpaceDE w:val="0"/>
        <w:autoSpaceDN w:val="0"/>
        <w:adjustRightInd w:val="0"/>
        <w:spacing w:before="120" w:line="360" w:lineRule="auto"/>
        <w:jc w:val="both"/>
        <w:rPr>
          <w:color w:val="1D1B11"/>
          <w:sz w:val="24"/>
          <w:lang w:val="fr-FR"/>
        </w:rPr>
      </w:pPr>
      <w:r w:rsidRPr="00EE72D2">
        <w:rPr>
          <w:color w:val="1D1B11"/>
          <w:sz w:val="24"/>
          <w:lang w:val="fr-FR"/>
        </w:rPr>
        <w:t xml:space="preserve">Ils ont découvert tous les « secrets » de la culture de la Vanille de Tahiti, les techniques de préparation, mais aussi  l’aspect économique et commercial de ce produit d’exception. </w:t>
      </w:r>
    </w:p>
    <w:p w:rsidR="00EE72D2" w:rsidRPr="00EE72D2" w:rsidRDefault="005133CE" w:rsidP="00EE72D2">
      <w:pPr>
        <w:autoSpaceDE w:val="0"/>
        <w:autoSpaceDN w:val="0"/>
        <w:adjustRightInd w:val="0"/>
        <w:spacing w:after="240" w:line="360" w:lineRule="auto"/>
        <w:jc w:val="both"/>
        <w:rPr>
          <w:color w:val="1D1B11"/>
          <w:sz w:val="24"/>
          <w:lang w:val="fr-FR"/>
        </w:rPr>
      </w:pPr>
      <w:r w:rsidRPr="00EE72D2">
        <w:rPr>
          <w:color w:val="1D1B11"/>
          <w:sz w:val="24"/>
          <w:lang w:val="fr-FR"/>
        </w:rPr>
        <w:t>A la suite de cette formation, ils ont passé un examen de préparateur de vanille organisé par le Ministère de l’agriculture : 12 d’entre eux recevront donc ce jour leur brevet de préparateur de vanille de Tahiti.</w:t>
      </w:r>
    </w:p>
    <w:p w:rsidR="00EE72D2" w:rsidRPr="00EE72D2" w:rsidRDefault="005133CE" w:rsidP="00EE72D2">
      <w:pPr>
        <w:autoSpaceDE w:val="0"/>
        <w:autoSpaceDN w:val="0"/>
        <w:adjustRightInd w:val="0"/>
        <w:spacing w:after="240" w:line="360" w:lineRule="auto"/>
        <w:jc w:val="both"/>
        <w:rPr>
          <w:color w:val="1D1B11"/>
          <w:sz w:val="24"/>
          <w:lang w:val="fr-FR"/>
        </w:rPr>
      </w:pPr>
      <w:r w:rsidRPr="00EE72D2">
        <w:rPr>
          <w:color w:val="1D1B11"/>
          <w:sz w:val="24"/>
          <w:lang w:val="fr-FR"/>
        </w:rPr>
        <w:t>Ils se tiendront demain à votre disposition pour répondre à vos questions.</w:t>
      </w:r>
    </w:p>
    <w:p w:rsidR="004D3F2B" w:rsidRPr="00EE72D2" w:rsidRDefault="00363127" w:rsidP="00EE72D2">
      <w:pPr>
        <w:autoSpaceDE w:val="0"/>
        <w:autoSpaceDN w:val="0"/>
        <w:adjustRightInd w:val="0"/>
        <w:spacing w:after="240"/>
        <w:jc w:val="both"/>
        <w:rPr>
          <w:rFonts w:cs="Times New Roman"/>
          <w:color w:val="1D1B11"/>
          <w:sz w:val="24"/>
          <w:lang w:val="fr-FR"/>
        </w:rPr>
      </w:pPr>
    </w:p>
    <w:tbl>
      <w:tblPr>
        <w:tblW w:w="0" w:type="auto"/>
        <w:jc w:val="right"/>
        <w:tblLook w:val="00A0"/>
      </w:tblPr>
      <w:tblGrid>
        <w:gridCol w:w="2424"/>
        <w:gridCol w:w="3576"/>
        <w:gridCol w:w="3576"/>
      </w:tblGrid>
      <w:tr w:rsidR="004D3F2B" w:rsidRPr="00EE72D2">
        <w:trPr>
          <w:jc w:val="right"/>
        </w:trPr>
        <w:tc>
          <w:tcPr>
            <w:tcW w:w="2424" w:type="dxa"/>
          </w:tcPr>
          <w:p w:rsidR="004D3F2B" w:rsidRPr="00EE72D2" w:rsidRDefault="005133CE" w:rsidP="00EE72D2">
            <w:pPr>
              <w:pStyle w:val="Text"/>
              <w:spacing w:after="0" w:line="240" w:lineRule="auto"/>
              <w:jc w:val="both"/>
              <w:rPr>
                <w:sz w:val="24"/>
                <w:lang w:val="fr-FR"/>
              </w:rPr>
            </w:pPr>
            <w:r w:rsidRPr="00EE72D2">
              <w:rPr>
                <w:noProof/>
                <w:sz w:val="24"/>
                <w:lang w:val="fr-FR" w:eastAsia="fr-FR"/>
              </w:rPr>
              <w:drawing>
                <wp:inline distT="0" distB="0" distL="0" distR="0">
                  <wp:extent cx="1181100" cy="1571625"/>
                  <wp:effectExtent l="19050" t="0" r="0" b="0"/>
                  <wp:docPr id="2"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11" cstate="print"/>
                          <a:srcRect/>
                          <a:stretch>
                            <a:fillRect/>
                          </a:stretch>
                        </pic:blipFill>
                        <pic:spPr bwMode="auto">
                          <a:xfrm>
                            <a:off x="0" y="0"/>
                            <a:ext cx="1181100" cy="1571625"/>
                          </a:xfrm>
                          <a:prstGeom prst="rect">
                            <a:avLst/>
                          </a:prstGeom>
                          <a:noFill/>
                          <a:ln w="9525">
                            <a:noFill/>
                            <a:miter lim="800000"/>
                            <a:headEnd/>
                            <a:tailEnd/>
                          </a:ln>
                        </pic:spPr>
                      </pic:pic>
                    </a:graphicData>
                  </a:graphic>
                </wp:inline>
              </w:drawing>
            </w:r>
          </w:p>
        </w:tc>
        <w:tc>
          <w:tcPr>
            <w:tcW w:w="3576" w:type="dxa"/>
          </w:tcPr>
          <w:p w:rsidR="004D3F2B" w:rsidRPr="00EE72D2" w:rsidRDefault="005133CE" w:rsidP="00EE72D2">
            <w:pPr>
              <w:pStyle w:val="Text"/>
              <w:spacing w:after="0" w:line="240" w:lineRule="auto"/>
              <w:jc w:val="both"/>
              <w:rPr>
                <w:sz w:val="24"/>
                <w:lang w:val="fr-FR"/>
              </w:rPr>
            </w:pPr>
            <w:r w:rsidRPr="00EE72D2">
              <w:rPr>
                <w:noProof/>
                <w:sz w:val="24"/>
                <w:lang w:val="fr-FR" w:eastAsia="fr-FR"/>
              </w:rPr>
              <w:drawing>
                <wp:inline distT="0" distB="0" distL="0" distR="0">
                  <wp:extent cx="2085975" cy="1562100"/>
                  <wp:effectExtent l="19050" t="0" r="9525" b="0"/>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2" cstate="print"/>
                          <a:srcRect/>
                          <a:stretch>
                            <a:fillRect/>
                          </a:stretch>
                        </pic:blipFill>
                        <pic:spPr bwMode="auto">
                          <a:xfrm>
                            <a:off x="0" y="0"/>
                            <a:ext cx="2085975" cy="1562100"/>
                          </a:xfrm>
                          <a:prstGeom prst="rect">
                            <a:avLst/>
                          </a:prstGeom>
                          <a:noFill/>
                          <a:ln w="9525">
                            <a:noFill/>
                            <a:miter lim="800000"/>
                            <a:headEnd/>
                            <a:tailEnd/>
                          </a:ln>
                        </pic:spPr>
                      </pic:pic>
                    </a:graphicData>
                  </a:graphic>
                </wp:inline>
              </w:drawing>
            </w:r>
          </w:p>
        </w:tc>
        <w:tc>
          <w:tcPr>
            <w:tcW w:w="3576" w:type="dxa"/>
          </w:tcPr>
          <w:p w:rsidR="004D3F2B" w:rsidRPr="00EE72D2" w:rsidRDefault="005133CE" w:rsidP="00EE72D2">
            <w:pPr>
              <w:pStyle w:val="Text"/>
              <w:spacing w:after="0" w:line="240" w:lineRule="auto"/>
              <w:jc w:val="both"/>
              <w:rPr>
                <w:sz w:val="24"/>
                <w:lang w:val="fr-FR"/>
              </w:rPr>
            </w:pPr>
            <w:r w:rsidRPr="00EE72D2">
              <w:rPr>
                <w:noProof/>
                <w:sz w:val="24"/>
                <w:lang w:val="fr-FR" w:eastAsia="fr-FR"/>
              </w:rPr>
              <w:drawing>
                <wp:inline distT="0" distB="0" distL="0" distR="0">
                  <wp:extent cx="2085975" cy="1562100"/>
                  <wp:effectExtent l="19050" t="0" r="9525" b="0"/>
                  <wp:docPr id="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3" cstate="print"/>
                          <a:srcRect/>
                          <a:stretch>
                            <a:fillRect/>
                          </a:stretch>
                        </pic:blipFill>
                        <pic:spPr bwMode="auto">
                          <a:xfrm>
                            <a:off x="0" y="0"/>
                            <a:ext cx="2085975" cy="1562100"/>
                          </a:xfrm>
                          <a:prstGeom prst="rect">
                            <a:avLst/>
                          </a:prstGeom>
                          <a:noFill/>
                          <a:ln w="9525">
                            <a:noFill/>
                            <a:miter lim="800000"/>
                            <a:headEnd/>
                            <a:tailEnd/>
                          </a:ln>
                        </pic:spPr>
                      </pic:pic>
                    </a:graphicData>
                  </a:graphic>
                </wp:inline>
              </w:drawing>
            </w:r>
          </w:p>
        </w:tc>
      </w:tr>
    </w:tbl>
    <w:p w:rsidR="00EE72D2" w:rsidRPr="00EE72D2" w:rsidRDefault="00363127" w:rsidP="00EE72D2">
      <w:pPr>
        <w:pStyle w:val="Text"/>
        <w:spacing w:line="240" w:lineRule="auto"/>
        <w:jc w:val="both"/>
        <w:rPr>
          <w:sz w:val="24"/>
          <w:szCs w:val="22"/>
          <w:lang w:val="fr-FR"/>
        </w:rPr>
      </w:pPr>
    </w:p>
    <w:p w:rsidR="004D3F2B" w:rsidRPr="00EE72D2" w:rsidRDefault="005133CE" w:rsidP="00EE72D2">
      <w:pPr>
        <w:pStyle w:val="Text"/>
        <w:spacing w:line="240" w:lineRule="auto"/>
        <w:jc w:val="both"/>
        <w:rPr>
          <w:sz w:val="24"/>
          <w:szCs w:val="22"/>
          <w:lang w:val="fr-FR"/>
        </w:rPr>
      </w:pPr>
      <w:r w:rsidRPr="00EE72D2">
        <w:rPr>
          <w:sz w:val="24"/>
          <w:szCs w:val="22"/>
          <w:lang w:val="fr-FR"/>
        </w:rPr>
        <w:t>LISTE DES CANDIDATS RECUS A L’EXAMEN DU BREVET DE PREPARATEUR DE VANILLE DE TAHITI :</w:t>
      </w:r>
    </w:p>
    <w:p w:rsidR="004D3F2B" w:rsidRPr="00EE72D2" w:rsidRDefault="005133CE" w:rsidP="00EE72D2">
      <w:pPr>
        <w:jc w:val="both"/>
        <w:rPr>
          <w:b/>
          <w:sz w:val="24"/>
          <w:szCs w:val="22"/>
          <w:u w:val="single"/>
        </w:rPr>
      </w:pPr>
      <w:r w:rsidRPr="00EE72D2">
        <w:rPr>
          <w:b/>
          <w:sz w:val="24"/>
          <w:szCs w:val="22"/>
          <w:u w:val="single"/>
        </w:rPr>
        <w:t>Session d’examen de septembre 2012 :</w:t>
      </w:r>
    </w:p>
    <w:p w:rsidR="004D3F2B" w:rsidRPr="00EE72D2" w:rsidRDefault="00363127" w:rsidP="00EE72D2">
      <w:pPr>
        <w:jc w:val="both"/>
        <w:rPr>
          <w:b/>
          <w:sz w:val="24"/>
          <w:szCs w:val="22"/>
          <w:u w:val="single"/>
        </w:rPr>
      </w:pPr>
    </w:p>
    <w:p w:rsidR="004D3F2B" w:rsidRPr="00EE72D2" w:rsidRDefault="005133CE" w:rsidP="00EE72D2">
      <w:pPr>
        <w:numPr>
          <w:ilvl w:val="0"/>
          <w:numId w:val="3"/>
        </w:numPr>
        <w:jc w:val="both"/>
        <w:rPr>
          <w:b/>
          <w:sz w:val="24"/>
          <w:szCs w:val="22"/>
          <w:u w:val="single"/>
        </w:rPr>
      </w:pPr>
      <w:r w:rsidRPr="00EE72D2">
        <w:rPr>
          <w:sz w:val="24"/>
          <w:szCs w:val="22"/>
        </w:rPr>
        <w:t>David GERMAIN</w:t>
      </w:r>
    </w:p>
    <w:p w:rsidR="004D3F2B" w:rsidRPr="00EE72D2" w:rsidRDefault="005133CE" w:rsidP="00EE72D2">
      <w:pPr>
        <w:numPr>
          <w:ilvl w:val="0"/>
          <w:numId w:val="3"/>
        </w:numPr>
        <w:jc w:val="both"/>
        <w:rPr>
          <w:b/>
          <w:sz w:val="24"/>
          <w:szCs w:val="22"/>
          <w:u w:val="single"/>
        </w:rPr>
      </w:pPr>
      <w:r w:rsidRPr="00EE72D2">
        <w:rPr>
          <w:sz w:val="24"/>
          <w:szCs w:val="22"/>
        </w:rPr>
        <w:t>Elianne RAIHUTI</w:t>
      </w:r>
    </w:p>
    <w:p w:rsidR="004D3F2B" w:rsidRPr="00EE72D2" w:rsidRDefault="00363127" w:rsidP="00EE72D2">
      <w:pPr>
        <w:jc w:val="both"/>
        <w:rPr>
          <w:sz w:val="24"/>
          <w:szCs w:val="22"/>
        </w:rPr>
      </w:pPr>
    </w:p>
    <w:p w:rsidR="004D3F2B" w:rsidRPr="00EE72D2" w:rsidRDefault="005133CE" w:rsidP="00EE72D2">
      <w:pPr>
        <w:jc w:val="both"/>
        <w:rPr>
          <w:b/>
          <w:sz w:val="24"/>
          <w:szCs w:val="22"/>
          <w:u w:val="single"/>
        </w:rPr>
      </w:pPr>
      <w:r w:rsidRPr="00EE72D2">
        <w:rPr>
          <w:b/>
          <w:sz w:val="24"/>
          <w:szCs w:val="22"/>
          <w:u w:val="single"/>
        </w:rPr>
        <w:t>Session d’examen de janvier 2013 :</w:t>
      </w:r>
    </w:p>
    <w:p w:rsidR="004D3F2B" w:rsidRPr="00EE72D2" w:rsidRDefault="00363127" w:rsidP="00EE72D2">
      <w:pPr>
        <w:jc w:val="both"/>
        <w:rPr>
          <w:b/>
          <w:sz w:val="24"/>
          <w:szCs w:val="22"/>
          <w:u w:val="single"/>
        </w:rPr>
      </w:pPr>
    </w:p>
    <w:p w:rsidR="004D3F2B" w:rsidRPr="00EE72D2" w:rsidRDefault="005133CE" w:rsidP="00EE72D2">
      <w:pPr>
        <w:numPr>
          <w:ilvl w:val="0"/>
          <w:numId w:val="4"/>
        </w:numPr>
        <w:jc w:val="both"/>
        <w:rPr>
          <w:sz w:val="24"/>
          <w:szCs w:val="22"/>
        </w:rPr>
      </w:pPr>
      <w:r w:rsidRPr="00EE72D2">
        <w:rPr>
          <w:sz w:val="24"/>
          <w:szCs w:val="22"/>
        </w:rPr>
        <w:t>Pascal CHUNGUES</w:t>
      </w:r>
    </w:p>
    <w:p w:rsidR="004D3F2B" w:rsidRPr="00EE72D2" w:rsidRDefault="005133CE" w:rsidP="00EE72D2">
      <w:pPr>
        <w:numPr>
          <w:ilvl w:val="0"/>
          <w:numId w:val="4"/>
        </w:numPr>
        <w:jc w:val="both"/>
        <w:rPr>
          <w:sz w:val="24"/>
          <w:szCs w:val="22"/>
        </w:rPr>
      </w:pPr>
      <w:r w:rsidRPr="00EE72D2">
        <w:rPr>
          <w:sz w:val="24"/>
          <w:szCs w:val="22"/>
        </w:rPr>
        <w:t>Rehia DAVIO</w:t>
      </w:r>
    </w:p>
    <w:p w:rsidR="004D3F2B" w:rsidRPr="00EE72D2" w:rsidRDefault="005133CE" w:rsidP="00EE72D2">
      <w:pPr>
        <w:numPr>
          <w:ilvl w:val="0"/>
          <w:numId w:val="4"/>
        </w:numPr>
        <w:jc w:val="both"/>
        <w:rPr>
          <w:sz w:val="24"/>
          <w:szCs w:val="22"/>
        </w:rPr>
      </w:pPr>
      <w:r w:rsidRPr="00EE72D2">
        <w:rPr>
          <w:sz w:val="24"/>
          <w:szCs w:val="22"/>
        </w:rPr>
        <w:t>Caroline FONG</w:t>
      </w:r>
    </w:p>
    <w:p w:rsidR="004D3F2B" w:rsidRPr="00EE72D2" w:rsidRDefault="005133CE" w:rsidP="00EE72D2">
      <w:pPr>
        <w:numPr>
          <w:ilvl w:val="0"/>
          <w:numId w:val="4"/>
        </w:numPr>
        <w:jc w:val="both"/>
        <w:rPr>
          <w:sz w:val="24"/>
          <w:szCs w:val="22"/>
        </w:rPr>
      </w:pPr>
      <w:r w:rsidRPr="00EE72D2">
        <w:rPr>
          <w:sz w:val="24"/>
          <w:szCs w:val="22"/>
        </w:rPr>
        <w:t>Arii HART</w:t>
      </w:r>
    </w:p>
    <w:p w:rsidR="004D3F2B" w:rsidRPr="00EE72D2" w:rsidRDefault="005133CE" w:rsidP="00EE72D2">
      <w:pPr>
        <w:numPr>
          <w:ilvl w:val="0"/>
          <w:numId w:val="4"/>
        </w:numPr>
        <w:jc w:val="both"/>
        <w:rPr>
          <w:sz w:val="24"/>
          <w:szCs w:val="22"/>
        </w:rPr>
      </w:pPr>
      <w:r w:rsidRPr="00EE72D2">
        <w:rPr>
          <w:sz w:val="24"/>
          <w:szCs w:val="22"/>
        </w:rPr>
        <w:t>Juliana MARAMA</w:t>
      </w:r>
    </w:p>
    <w:p w:rsidR="004D3F2B" w:rsidRPr="00EE72D2" w:rsidRDefault="005133CE" w:rsidP="00EE72D2">
      <w:pPr>
        <w:numPr>
          <w:ilvl w:val="0"/>
          <w:numId w:val="4"/>
        </w:numPr>
        <w:jc w:val="both"/>
        <w:rPr>
          <w:sz w:val="24"/>
          <w:szCs w:val="22"/>
        </w:rPr>
      </w:pPr>
      <w:r w:rsidRPr="00EE72D2">
        <w:rPr>
          <w:sz w:val="24"/>
          <w:szCs w:val="22"/>
        </w:rPr>
        <w:t>Kathy MARAMA</w:t>
      </w:r>
    </w:p>
    <w:p w:rsidR="004D3F2B" w:rsidRPr="00EE72D2" w:rsidRDefault="005133CE" w:rsidP="00EE72D2">
      <w:pPr>
        <w:numPr>
          <w:ilvl w:val="0"/>
          <w:numId w:val="4"/>
        </w:numPr>
        <w:jc w:val="both"/>
        <w:rPr>
          <w:sz w:val="24"/>
          <w:szCs w:val="22"/>
        </w:rPr>
      </w:pPr>
      <w:r w:rsidRPr="00EE72D2">
        <w:rPr>
          <w:sz w:val="24"/>
          <w:szCs w:val="22"/>
        </w:rPr>
        <w:t>Alain NEUFFER</w:t>
      </w:r>
    </w:p>
    <w:p w:rsidR="004D3F2B" w:rsidRPr="00EE72D2" w:rsidRDefault="005133CE" w:rsidP="00EE72D2">
      <w:pPr>
        <w:numPr>
          <w:ilvl w:val="0"/>
          <w:numId w:val="4"/>
        </w:numPr>
        <w:jc w:val="both"/>
        <w:rPr>
          <w:sz w:val="24"/>
          <w:szCs w:val="22"/>
        </w:rPr>
      </w:pPr>
      <w:r w:rsidRPr="00EE72D2">
        <w:rPr>
          <w:sz w:val="24"/>
          <w:szCs w:val="22"/>
        </w:rPr>
        <w:t>Natea SAGE</w:t>
      </w:r>
    </w:p>
    <w:p w:rsidR="004D3F2B" w:rsidRPr="00EE72D2" w:rsidRDefault="005133CE" w:rsidP="00EE72D2">
      <w:pPr>
        <w:numPr>
          <w:ilvl w:val="0"/>
          <w:numId w:val="4"/>
        </w:numPr>
        <w:jc w:val="both"/>
        <w:rPr>
          <w:sz w:val="24"/>
          <w:szCs w:val="22"/>
        </w:rPr>
      </w:pPr>
      <w:r w:rsidRPr="00EE72D2">
        <w:rPr>
          <w:sz w:val="24"/>
          <w:szCs w:val="22"/>
        </w:rPr>
        <w:t>Taerenui SAGUES</w:t>
      </w:r>
    </w:p>
    <w:p w:rsidR="00EE72D2" w:rsidRDefault="005133CE" w:rsidP="00EE72D2">
      <w:pPr>
        <w:jc w:val="both"/>
        <w:rPr>
          <w:sz w:val="22"/>
          <w:szCs w:val="22"/>
        </w:rPr>
      </w:pPr>
      <w:r w:rsidRPr="00EE72D2">
        <w:rPr>
          <w:sz w:val="24"/>
          <w:szCs w:val="22"/>
        </w:rPr>
        <w:br w:type="page"/>
      </w:r>
      <w:r>
        <w:rPr>
          <w:sz w:val="22"/>
          <w:szCs w:val="22"/>
        </w:rPr>
        <w:t>ANNEXE</w:t>
      </w:r>
    </w:p>
    <w:p w:rsidR="004D3F2B" w:rsidRDefault="00363127">
      <w:pPr>
        <w:rPr>
          <w:sz w:val="22"/>
          <w:szCs w:val="22"/>
        </w:rPr>
      </w:pPr>
    </w:p>
    <w:p w:rsidR="004D3F2B" w:rsidRDefault="005133CE" w:rsidP="004D3F2B">
      <w:pPr>
        <w:rPr>
          <w:sz w:val="22"/>
          <w:szCs w:val="22"/>
        </w:rPr>
      </w:pPr>
      <w:r>
        <w:rPr>
          <w:sz w:val="22"/>
          <w:szCs w:val="22"/>
        </w:rPr>
        <w:t>TABLEAU 1 – REPARTITION DE LA PRODUCTION DE LA VANILLE DE TAHITI</w:t>
      </w:r>
    </w:p>
    <w:p w:rsidR="004D3F2B" w:rsidRDefault="00363127" w:rsidP="004D3F2B">
      <w:pPr>
        <w:rPr>
          <w:sz w:val="22"/>
          <w:szCs w:val="22"/>
        </w:rPr>
      </w:pPr>
    </w:p>
    <w:tbl>
      <w:tblPr>
        <w:tblW w:w="7981" w:type="dxa"/>
        <w:tblInd w:w="55" w:type="dxa"/>
        <w:tblCellMar>
          <w:left w:w="70" w:type="dxa"/>
          <w:right w:w="70" w:type="dxa"/>
        </w:tblCellMar>
        <w:tblLook w:val="00A0"/>
      </w:tblPr>
      <w:tblGrid>
        <w:gridCol w:w="1260"/>
        <w:gridCol w:w="1320"/>
        <w:gridCol w:w="1341"/>
        <w:gridCol w:w="1420"/>
        <w:gridCol w:w="1340"/>
        <w:gridCol w:w="1300"/>
      </w:tblGrid>
      <w:tr w:rsidR="004D3F2B" w:rsidRPr="00CD242F">
        <w:trPr>
          <w:trHeight w:val="855"/>
        </w:trPr>
        <w:tc>
          <w:tcPr>
            <w:tcW w:w="1260" w:type="dxa"/>
            <w:tcBorders>
              <w:top w:val="single" w:sz="4" w:space="0" w:color="auto"/>
              <w:left w:val="single" w:sz="4" w:space="0" w:color="auto"/>
              <w:bottom w:val="single" w:sz="4" w:space="0" w:color="auto"/>
              <w:right w:val="single" w:sz="4" w:space="0" w:color="auto"/>
            </w:tcBorders>
            <w:vAlign w:val="center"/>
          </w:tcPr>
          <w:p w:rsidR="004D3F2B" w:rsidRPr="00CD242F" w:rsidRDefault="005133CE" w:rsidP="00CD242F">
            <w:pPr>
              <w:jc w:val="center"/>
              <w:rPr>
                <w:sz w:val="16"/>
                <w:szCs w:val="16"/>
                <w:lang w:eastAsia="fr-FR"/>
              </w:rPr>
            </w:pPr>
            <w:r w:rsidRPr="00CD242F">
              <w:rPr>
                <w:sz w:val="16"/>
                <w:szCs w:val="16"/>
                <w:lang w:eastAsia="fr-FR"/>
              </w:rPr>
              <w:t>Nom du Secteur</w:t>
            </w:r>
          </w:p>
        </w:tc>
        <w:tc>
          <w:tcPr>
            <w:tcW w:w="1320" w:type="dxa"/>
            <w:tcBorders>
              <w:top w:val="single" w:sz="4" w:space="0" w:color="auto"/>
              <w:left w:val="nil"/>
              <w:bottom w:val="single" w:sz="4" w:space="0" w:color="auto"/>
              <w:right w:val="single" w:sz="4" w:space="0" w:color="auto"/>
            </w:tcBorders>
            <w:vAlign w:val="center"/>
          </w:tcPr>
          <w:p w:rsidR="004D3F2B" w:rsidRDefault="00365930" w:rsidP="00CD242F">
            <w:pPr>
              <w:jc w:val="center"/>
              <w:rPr>
                <w:sz w:val="16"/>
                <w:szCs w:val="16"/>
                <w:lang w:eastAsia="fr-FR"/>
              </w:rPr>
            </w:pPr>
            <w:r>
              <w:rPr>
                <w:sz w:val="16"/>
                <w:szCs w:val="16"/>
                <w:lang w:eastAsia="fr-FR"/>
              </w:rPr>
              <w:t xml:space="preserve">Exploitations sous </w:t>
            </w:r>
            <w:r w:rsidR="005133CE" w:rsidRPr="00CD242F">
              <w:rPr>
                <w:sz w:val="16"/>
                <w:szCs w:val="16"/>
                <w:lang w:eastAsia="fr-FR"/>
              </w:rPr>
              <w:t>Ombrière</w:t>
            </w:r>
          </w:p>
          <w:p w:rsidR="00365930" w:rsidRPr="00CD242F" w:rsidRDefault="00365930" w:rsidP="00CD242F">
            <w:pPr>
              <w:jc w:val="center"/>
              <w:rPr>
                <w:sz w:val="16"/>
                <w:szCs w:val="16"/>
                <w:lang w:eastAsia="fr-FR"/>
              </w:rPr>
            </w:pPr>
            <w:r>
              <w:rPr>
                <w:sz w:val="16"/>
                <w:szCs w:val="16"/>
                <w:lang w:eastAsia="fr-FR"/>
              </w:rPr>
              <w:t>contrôlées</w:t>
            </w:r>
          </w:p>
        </w:tc>
        <w:tc>
          <w:tcPr>
            <w:tcW w:w="1341" w:type="dxa"/>
            <w:tcBorders>
              <w:top w:val="single" w:sz="4" w:space="0" w:color="auto"/>
              <w:left w:val="nil"/>
              <w:bottom w:val="single" w:sz="4" w:space="0" w:color="auto"/>
              <w:right w:val="single" w:sz="4" w:space="0" w:color="auto"/>
            </w:tcBorders>
            <w:vAlign w:val="center"/>
          </w:tcPr>
          <w:p w:rsidR="00365930" w:rsidRDefault="00365930" w:rsidP="00CD242F">
            <w:pPr>
              <w:jc w:val="center"/>
              <w:rPr>
                <w:sz w:val="16"/>
                <w:szCs w:val="16"/>
                <w:lang w:eastAsia="fr-FR"/>
              </w:rPr>
            </w:pPr>
            <w:r>
              <w:rPr>
                <w:sz w:val="16"/>
                <w:szCs w:val="16"/>
                <w:lang w:eastAsia="fr-FR"/>
              </w:rPr>
              <w:t>Exploitations</w:t>
            </w:r>
          </w:p>
          <w:p w:rsidR="004D3F2B" w:rsidRDefault="005133CE" w:rsidP="00CD242F">
            <w:pPr>
              <w:jc w:val="center"/>
              <w:rPr>
                <w:sz w:val="16"/>
                <w:szCs w:val="16"/>
                <w:lang w:eastAsia="fr-FR"/>
              </w:rPr>
            </w:pPr>
            <w:r w:rsidRPr="00CD242F">
              <w:rPr>
                <w:sz w:val="16"/>
                <w:szCs w:val="16"/>
                <w:lang w:eastAsia="fr-FR"/>
              </w:rPr>
              <w:t>Traditionnelle</w:t>
            </w:r>
            <w:r w:rsidR="00365930">
              <w:rPr>
                <w:sz w:val="16"/>
                <w:szCs w:val="16"/>
                <w:lang w:eastAsia="fr-FR"/>
              </w:rPr>
              <w:t>s</w:t>
            </w:r>
          </w:p>
          <w:p w:rsidR="00365930" w:rsidRPr="00CD242F" w:rsidRDefault="00365930" w:rsidP="00CD242F">
            <w:pPr>
              <w:jc w:val="center"/>
              <w:rPr>
                <w:sz w:val="16"/>
                <w:szCs w:val="16"/>
                <w:lang w:eastAsia="fr-FR"/>
              </w:rPr>
            </w:pPr>
            <w:r>
              <w:rPr>
                <w:sz w:val="16"/>
                <w:szCs w:val="16"/>
                <w:lang w:eastAsia="fr-FR"/>
              </w:rPr>
              <w:t>contrôlées</w:t>
            </w:r>
          </w:p>
        </w:tc>
        <w:tc>
          <w:tcPr>
            <w:tcW w:w="1420" w:type="dxa"/>
            <w:tcBorders>
              <w:top w:val="single" w:sz="4" w:space="0" w:color="auto"/>
              <w:left w:val="nil"/>
              <w:bottom w:val="single" w:sz="4" w:space="0" w:color="auto"/>
              <w:right w:val="single" w:sz="4" w:space="0" w:color="auto"/>
            </w:tcBorders>
            <w:vAlign w:val="center"/>
          </w:tcPr>
          <w:p w:rsidR="004D3F2B" w:rsidRPr="00CD242F" w:rsidRDefault="005133CE" w:rsidP="00CD242F">
            <w:pPr>
              <w:jc w:val="center"/>
              <w:rPr>
                <w:sz w:val="16"/>
                <w:szCs w:val="16"/>
                <w:lang w:eastAsia="fr-FR"/>
              </w:rPr>
            </w:pPr>
            <w:r w:rsidRPr="00CD242F">
              <w:rPr>
                <w:sz w:val="16"/>
                <w:szCs w:val="16"/>
                <w:lang w:eastAsia="fr-FR"/>
              </w:rPr>
              <w:t>Total</w:t>
            </w:r>
            <w:r w:rsidR="00365930">
              <w:rPr>
                <w:sz w:val="16"/>
                <w:szCs w:val="16"/>
                <w:lang w:eastAsia="fr-FR"/>
              </w:rPr>
              <w:t xml:space="preserve"> production contrôlée</w:t>
            </w:r>
          </w:p>
        </w:tc>
        <w:tc>
          <w:tcPr>
            <w:tcW w:w="1340" w:type="dxa"/>
            <w:tcBorders>
              <w:top w:val="single" w:sz="4" w:space="0" w:color="auto"/>
              <w:left w:val="nil"/>
              <w:bottom w:val="single" w:sz="4" w:space="0" w:color="auto"/>
              <w:right w:val="single" w:sz="4" w:space="0" w:color="auto"/>
            </w:tcBorders>
            <w:vAlign w:val="center"/>
          </w:tcPr>
          <w:p w:rsidR="004D3F2B" w:rsidRPr="00CD242F" w:rsidRDefault="005133CE" w:rsidP="00CD242F">
            <w:pPr>
              <w:jc w:val="center"/>
              <w:rPr>
                <w:sz w:val="16"/>
                <w:szCs w:val="16"/>
                <w:lang w:eastAsia="fr-FR"/>
              </w:rPr>
            </w:pPr>
            <w:r w:rsidRPr="00CD242F">
              <w:rPr>
                <w:sz w:val="16"/>
                <w:szCs w:val="16"/>
                <w:lang w:eastAsia="fr-FR"/>
              </w:rPr>
              <w:t>Vanille</w:t>
            </w:r>
            <w:r>
              <w:rPr>
                <w:sz w:val="16"/>
                <w:szCs w:val="16"/>
                <w:lang w:eastAsia="fr-FR"/>
              </w:rPr>
              <w:t>s</w:t>
            </w:r>
            <w:r w:rsidRPr="00CD242F">
              <w:rPr>
                <w:sz w:val="16"/>
                <w:szCs w:val="16"/>
                <w:lang w:eastAsia="fr-FR"/>
              </w:rPr>
              <w:t xml:space="preserve"> mûre</w:t>
            </w:r>
            <w:r>
              <w:rPr>
                <w:sz w:val="16"/>
                <w:szCs w:val="16"/>
                <w:lang w:eastAsia="fr-FR"/>
              </w:rPr>
              <w:t>s</w:t>
            </w:r>
            <w:r w:rsidRPr="00CD242F">
              <w:rPr>
                <w:sz w:val="16"/>
                <w:szCs w:val="16"/>
                <w:lang w:eastAsia="fr-FR"/>
              </w:rPr>
              <w:t xml:space="preserve"> gardée pour préparation</w:t>
            </w:r>
          </w:p>
        </w:tc>
        <w:tc>
          <w:tcPr>
            <w:tcW w:w="1300" w:type="dxa"/>
            <w:tcBorders>
              <w:top w:val="single" w:sz="4" w:space="0" w:color="auto"/>
              <w:left w:val="nil"/>
              <w:bottom w:val="single" w:sz="4" w:space="0" w:color="auto"/>
              <w:right w:val="single" w:sz="4" w:space="0" w:color="auto"/>
            </w:tcBorders>
            <w:vAlign w:val="center"/>
          </w:tcPr>
          <w:p w:rsidR="004D3F2B" w:rsidRPr="00CD242F" w:rsidRDefault="005133CE" w:rsidP="00CD242F">
            <w:pPr>
              <w:jc w:val="center"/>
              <w:rPr>
                <w:sz w:val="16"/>
                <w:szCs w:val="16"/>
                <w:lang w:eastAsia="fr-FR"/>
              </w:rPr>
            </w:pPr>
            <w:r w:rsidRPr="00CD242F">
              <w:rPr>
                <w:sz w:val="16"/>
                <w:szCs w:val="16"/>
                <w:lang w:eastAsia="fr-FR"/>
              </w:rPr>
              <w:t>Total</w:t>
            </w:r>
          </w:p>
        </w:tc>
      </w:tr>
      <w:tr w:rsidR="004D3F2B" w:rsidRPr="00CD242F">
        <w:trPr>
          <w:trHeight w:val="255"/>
        </w:trPr>
        <w:tc>
          <w:tcPr>
            <w:tcW w:w="1260" w:type="dxa"/>
            <w:tcBorders>
              <w:top w:val="nil"/>
              <w:left w:val="single" w:sz="4" w:space="0" w:color="auto"/>
              <w:bottom w:val="nil"/>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HUAHINE</w:t>
            </w:r>
          </w:p>
          <w:p w:rsidR="004D3F2B" w:rsidRPr="00CD242F" w:rsidRDefault="005133CE" w:rsidP="00CD242F">
            <w:pPr>
              <w:rPr>
                <w:sz w:val="16"/>
                <w:szCs w:val="16"/>
                <w:lang w:eastAsia="fr-FR"/>
              </w:rPr>
            </w:pPr>
            <w:r w:rsidRPr="00CD242F">
              <w:rPr>
                <w:sz w:val="16"/>
                <w:szCs w:val="16"/>
                <w:lang w:eastAsia="fr-FR"/>
              </w:rPr>
              <w:t>KAUKURA</w:t>
            </w:r>
          </w:p>
        </w:tc>
        <w:tc>
          <w:tcPr>
            <w:tcW w:w="132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7 158.90</w:t>
            </w:r>
          </w:p>
          <w:p w:rsidR="004D3F2B" w:rsidRPr="00CD242F" w:rsidRDefault="005133CE" w:rsidP="00CD242F">
            <w:pPr>
              <w:jc w:val="right"/>
              <w:rPr>
                <w:sz w:val="16"/>
                <w:szCs w:val="16"/>
                <w:lang w:eastAsia="fr-FR"/>
              </w:rPr>
            </w:pPr>
            <w:r w:rsidRPr="00CD242F">
              <w:rPr>
                <w:sz w:val="16"/>
                <w:szCs w:val="16"/>
                <w:lang w:eastAsia="fr-FR"/>
              </w:rPr>
              <w:t>0.00</w:t>
            </w:r>
          </w:p>
        </w:tc>
        <w:tc>
          <w:tcPr>
            <w:tcW w:w="1341" w:type="dxa"/>
            <w:tcBorders>
              <w:top w:val="nil"/>
              <w:left w:val="nil"/>
              <w:bottom w:val="nil"/>
              <w:right w:val="nil"/>
            </w:tcBorders>
            <w:noWrap/>
            <w:vAlign w:val="center"/>
          </w:tcPr>
          <w:p w:rsidR="004D3F2B" w:rsidRPr="00CD242F" w:rsidRDefault="005133CE" w:rsidP="00CD242F">
            <w:pPr>
              <w:jc w:val="right"/>
              <w:rPr>
                <w:sz w:val="16"/>
                <w:szCs w:val="16"/>
                <w:lang w:eastAsia="fr-FR"/>
              </w:rPr>
            </w:pPr>
            <w:r w:rsidRPr="00CD242F">
              <w:rPr>
                <w:sz w:val="16"/>
                <w:szCs w:val="16"/>
                <w:lang w:eastAsia="fr-FR"/>
              </w:rPr>
              <w:t>965.70</w:t>
            </w:r>
          </w:p>
          <w:p w:rsidR="004D3F2B" w:rsidRPr="00CD242F" w:rsidRDefault="005133CE" w:rsidP="00CD242F">
            <w:pPr>
              <w:jc w:val="right"/>
              <w:rPr>
                <w:sz w:val="16"/>
                <w:szCs w:val="16"/>
                <w:lang w:eastAsia="fr-FR"/>
              </w:rPr>
            </w:pPr>
            <w:r w:rsidRPr="00CD242F">
              <w:rPr>
                <w:sz w:val="16"/>
                <w:szCs w:val="16"/>
                <w:lang w:eastAsia="fr-FR"/>
              </w:rPr>
              <w:t>0.00</w:t>
            </w:r>
          </w:p>
        </w:tc>
        <w:tc>
          <w:tcPr>
            <w:tcW w:w="1420" w:type="dxa"/>
            <w:tcBorders>
              <w:top w:val="nil"/>
              <w:left w:val="single" w:sz="4" w:space="0" w:color="auto"/>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8 139.40</w:t>
            </w:r>
          </w:p>
          <w:p w:rsidR="004D3F2B" w:rsidRPr="00CD242F" w:rsidRDefault="005133CE" w:rsidP="00CD242F">
            <w:pPr>
              <w:jc w:val="right"/>
              <w:rPr>
                <w:sz w:val="16"/>
                <w:szCs w:val="16"/>
                <w:lang w:eastAsia="fr-FR"/>
              </w:rPr>
            </w:pPr>
            <w:r w:rsidRPr="00CD242F">
              <w:rPr>
                <w:sz w:val="16"/>
                <w:szCs w:val="16"/>
                <w:lang w:eastAsia="fr-FR"/>
              </w:rPr>
              <w:t>0.00</w:t>
            </w:r>
          </w:p>
        </w:tc>
        <w:tc>
          <w:tcPr>
            <w:tcW w:w="134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394.60</w:t>
            </w:r>
          </w:p>
          <w:p w:rsidR="004D3F2B" w:rsidRPr="00CD242F" w:rsidRDefault="005133CE" w:rsidP="00CD242F">
            <w:pPr>
              <w:jc w:val="right"/>
              <w:rPr>
                <w:sz w:val="16"/>
                <w:szCs w:val="16"/>
                <w:lang w:eastAsia="fr-FR"/>
              </w:rPr>
            </w:pPr>
            <w:r w:rsidRPr="00CD242F">
              <w:rPr>
                <w:sz w:val="16"/>
                <w:szCs w:val="16"/>
                <w:lang w:eastAsia="fr-FR"/>
              </w:rPr>
              <w:t>114.00</w:t>
            </w:r>
          </w:p>
        </w:tc>
        <w:tc>
          <w:tcPr>
            <w:tcW w:w="130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8 534.00</w:t>
            </w:r>
          </w:p>
          <w:p w:rsidR="004D3F2B" w:rsidRPr="00CD242F" w:rsidRDefault="005133CE" w:rsidP="00CD242F">
            <w:pPr>
              <w:jc w:val="right"/>
              <w:rPr>
                <w:sz w:val="16"/>
                <w:szCs w:val="16"/>
                <w:lang w:eastAsia="fr-FR"/>
              </w:rPr>
            </w:pPr>
            <w:r w:rsidRPr="00CD242F">
              <w:rPr>
                <w:sz w:val="16"/>
                <w:szCs w:val="16"/>
                <w:lang w:eastAsia="fr-FR"/>
              </w:rPr>
              <w:t>114.00</w:t>
            </w:r>
          </w:p>
        </w:tc>
      </w:tr>
      <w:tr w:rsidR="004D3F2B" w:rsidRPr="00CD242F">
        <w:trPr>
          <w:trHeight w:val="255"/>
        </w:trPr>
        <w:tc>
          <w:tcPr>
            <w:tcW w:w="1260" w:type="dxa"/>
            <w:tcBorders>
              <w:top w:val="nil"/>
              <w:left w:val="single" w:sz="4" w:space="0" w:color="auto"/>
              <w:bottom w:val="nil"/>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MOOREA</w:t>
            </w:r>
          </w:p>
        </w:tc>
        <w:tc>
          <w:tcPr>
            <w:tcW w:w="132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1 506.00</w:t>
            </w:r>
          </w:p>
        </w:tc>
        <w:tc>
          <w:tcPr>
            <w:tcW w:w="1341" w:type="dxa"/>
            <w:tcBorders>
              <w:top w:val="nil"/>
              <w:left w:val="nil"/>
              <w:bottom w:val="nil"/>
              <w:right w:val="nil"/>
            </w:tcBorders>
            <w:noWrap/>
            <w:vAlign w:val="center"/>
          </w:tcPr>
          <w:p w:rsidR="004D3F2B" w:rsidRPr="00CD242F" w:rsidRDefault="005133CE" w:rsidP="00CD242F">
            <w:pPr>
              <w:jc w:val="right"/>
              <w:rPr>
                <w:sz w:val="16"/>
                <w:szCs w:val="16"/>
                <w:lang w:eastAsia="fr-FR"/>
              </w:rPr>
            </w:pPr>
            <w:r w:rsidRPr="00CD242F">
              <w:rPr>
                <w:sz w:val="16"/>
                <w:szCs w:val="16"/>
                <w:lang w:eastAsia="fr-FR"/>
              </w:rPr>
              <w:t>0,00</w:t>
            </w:r>
          </w:p>
        </w:tc>
        <w:tc>
          <w:tcPr>
            <w:tcW w:w="1420" w:type="dxa"/>
            <w:tcBorders>
              <w:top w:val="nil"/>
              <w:left w:val="single" w:sz="4" w:space="0" w:color="auto"/>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1 506.00</w:t>
            </w:r>
          </w:p>
        </w:tc>
        <w:tc>
          <w:tcPr>
            <w:tcW w:w="134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331.70</w:t>
            </w:r>
          </w:p>
        </w:tc>
        <w:tc>
          <w:tcPr>
            <w:tcW w:w="130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1 837.70</w:t>
            </w:r>
          </w:p>
        </w:tc>
      </w:tr>
      <w:tr w:rsidR="004D3F2B" w:rsidRPr="00CD242F">
        <w:trPr>
          <w:trHeight w:val="255"/>
        </w:trPr>
        <w:tc>
          <w:tcPr>
            <w:tcW w:w="1260" w:type="dxa"/>
            <w:tcBorders>
              <w:top w:val="nil"/>
              <w:left w:val="single" w:sz="4" w:space="0" w:color="auto"/>
              <w:bottom w:val="nil"/>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RAIATEA</w:t>
            </w:r>
          </w:p>
        </w:tc>
        <w:tc>
          <w:tcPr>
            <w:tcW w:w="132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7 885.35</w:t>
            </w:r>
          </w:p>
        </w:tc>
        <w:tc>
          <w:tcPr>
            <w:tcW w:w="1341" w:type="dxa"/>
            <w:tcBorders>
              <w:top w:val="nil"/>
              <w:left w:val="nil"/>
              <w:bottom w:val="nil"/>
              <w:right w:val="nil"/>
            </w:tcBorders>
            <w:noWrap/>
            <w:vAlign w:val="center"/>
          </w:tcPr>
          <w:p w:rsidR="004D3F2B" w:rsidRPr="00CD242F" w:rsidRDefault="005133CE" w:rsidP="00CD242F">
            <w:pPr>
              <w:jc w:val="right"/>
              <w:rPr>
                <w:sz w:val="16"/>
                <w:szCs w:val="16"/>
                <w:lang w:eastAsia="fr-FR"/>
              </w:rPr>
            </w:pPr>
            <w:r w:rsidRPr="00CD242F">
              <w:rPr>
                <w:sz w:val="16"/>
                <w:szCs w:val="16"/>
                <w:lang w:eastAsia="fr-FR"/>
              </w:rPr>
              <w:t>4 878.95</w:t>
            </w:r>
          </w:p>
        </w:tc>
        <w:tc>
          <w:tcPr>
            <w:tcW w:w="1420" w:type="dxa"/>
            <w:tcBorders>
              <w:top w:val="nil"/>
              <w:left w:val="single" w:sz="4" w:space="0" w:color="auto"/>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12 814.30</w:t>
            </w:r>
          </w:p>
        </w:tc>
        <w:tc>
          <w:tcPr>
            <w:tcW w:w="134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1 242.00</w:t>
            </w:r>
          </w:p>
        </w:tc>
        <w:tc>
          <w:tcPr>
            <w:tcW w:w="130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14 056.30</w:t>
            </w:r>
          </w:p>
        </w:tc>
      </w:tr>
      <w:tr w:rsidR="004D3F2B" w:rsidRPr="00CD242F">
        <w:trPr>
          <w:trHeight w:val="255"/>
        </w:trPr>
        <w:tc>
          <w:tcPr>
            <w:tcW w:w="1260" w:type="dxa"/>
            <w:tcBorders>
              <w:top w:val="nil"/>
              <w:left w:val="single" w:sz="4" w:space="0" w:color="auto"/>
              <w:bottom w:val="nil"/>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TAHAA</w:t>
            </w:r>
          </w:p>
        </w:tc>
        <w:tc>
          <w:tcPr>
            <w:tcW w:w="132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9 185.45</w:t>
            </w:r>
          </w:p>
        </w:tc>
        <w:tc>
          <w:tcPr>
            <w:tcW w:w="1341" w:type="dxa"/>
            <w:tcBorders>
              <w:top w:val="nil"/>
              <w:left w:val="nil"/>
              <w:bottom w:val="nil"/>
              <w:right w:val="nil"/>
            </w:tcBorders>
            <w:noWrap/>
            <w:vAlign w:val="center"/>
          </w:tcPr>
          <w:p w:rsidR="004D3F2B" w:rsidRPr="00CD242F" w:rsidRDefault="005133CE" w:rsidP="00CD242F">
            <w:pPr>
              <w:jc w:val="right"/>
              <w:rPr>
                <w:sz w:val="16"/>
                <w:szCs w:val="16"/>
                <w:lang w:eastAsia="fr-FR"/>
              </w:rPr>
            </w:pPr>
            <w:r w:rsidRPr="00CD242F">
              <w:rPr>
                <w:sz w:val="16"/>
                <w:szCs w:val="16"/>
                <w:lang w:eastAsia="fr-FR"/>
              </w:rPr>
              <w:t>5 850.80</w:t>
            </w:r>
          </w:p>
        </w:tc>
        <w:tc>
          <w:tcPr>
            <w:tcW w:w="1420" w:type="dxa"/>
            <w:tcBorders>
              <w:top w:val="nil"/>
              <w:left w:val="single" w:sz="4" w:space="0" w:color="auto"/>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15 036.,25</w:t>
            </w:r>
          </w:p>
        </w:tc>
        <w:tc>
          <w:tcPr>
            <w:tcW w:w="134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457.00</w:t>
            </w:r>
          </w:p>
        </w:tc>
        <w:tc>
          <w:tcPr>
            <w:tcW w:w="1300" w:type="dxa"/>
            <w:tcBorders>
              <w:top w:val="nil"/>
              <w:left w:val="nil"/>
              <w:bottom w:val="nil"/>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15 493.25</w:t>
            </w:r>
          </w:p>
        </w:tc>
      </w:tr>
      <w:tr w:rsidR="004D3F2B" w:rsidRPr="00CD242F">
        <w:trPr>
          <w:trHeight w:val="255"/>
        </w:trPr>
        <w:tc>
          <w:tcPr>
            <w:tcW w:w="1260" w:type="dxa"/>
            <w:tcBorders>
              <w:top w:val="nil"/>
              <w:left w:val="single" w:sz="4" w:space="0" w:color="auto"/>
              <w:bottom w:val="single" w:sz="4" w:space="0" w:color="auto"/>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TAHITI</w:t>
            </w:r>
          </w:p>
        </w:tc>
        <w:tc>
          <w:tcPr>
            <w:tcW w:w="1320" w:type="dxa"/>
            <w:tcBorders>
              <w:top w:val="nil"/>
              <w:left w:val="nil"/>
              <w:bottom w:val="single" w:sz="4" w:space="0" w:color="auto"/>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5 170,30</w:t>
            </w:r>
          </w:p>
        </w:tc>
        <w:tc>
          <w:tcPr>
            <w:tcW w:w="1341" w:type="dxa"/>
            <w:tcBorders>
              <w:top w:val="nil"/>
              <w:left w:val="nil"/>
              <w:bottom w:val="single" w:sz="4" w:space="0" w:color="auto"/>
              <w:right w:val="nil"/>
            </w:tcBorders>
            <w:noWrap/>
            <w:vAlign w:val="center"/>
          </w:tcPr>
          <w:p w:rsidR="004D3F2B" w:rsidRPr="00CD242F" w:rsidRDefault="005133CE" w:rsidP="00CD242F">
            <w:pPr>
              <w:jc w:val="right"/>
              <w:rPr>
                <w:sz w:val="16"/>
                <w:szCs w:val="16"/>
                <w:lang w:eastAsia="fr-FR"/>
              </w:rPr>
            </w:pPr>
            <w:r w:rsidRPr="00CD242F">
              <w:rPr>
                <w:sz w:val="16"/>
                <w:szCs w:val="16"/>
                <w:lang w:eastAsia="fr-FR"/>
              </w:rPr>
              <w:t>12.3</w:t>
            </w:r>
          </w:p>
        </w:tc>
        <w:tc>
          <w:tcPr>
            <w:tcW w:w="1420" w:type="dxa"/>
            <w:tcBorders>
              <w:top w:val="nil"/>
              <w:left w:val="single" w:sz="4" w:space="0" w:color="auto"/>
              <w:bottom w:val="single" w:sz="4" w:space="0" w:color="auto"/>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5 186,90</w:t>
            </w:r>
          </w:p>
        </w:tc>
        <w:tc>
          <w:tcPr>
            <w:tcW w:w="1340" w:type="dxa"/>
            <w:tcBorders>
              <w:top w:val="nil"/>
              <w:left w:val="nil"/>
              <w:bottom w:val="single" w:sz="4" w:space="0" w:color="auto"/>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650,00</w:t>
            </w:r>
          </w:p>
        </w:tc>
        <w:tc>
          <w:tcPr>
            <w:tcW w:w="1300" w:type="dxa"/>
            <w:tcBorders>
              <w:top w:val="nil"/>
              <w:left w:val="nil"/>
              <w:bottom w:val="single" w:sz="4" w:space="0" w:color="auto"/>
              <w:right w:val="single" w:sz="4" w:space="0" w:color="auto"/>
            </w:tcBorders>
            <w:noWrap/>
            <w:vAlign w:val="center"/>
          </w:tcPr>
          <w:p w:rsidR="004D3F2B" w:rsidRPr="00CD242F" w:rsidRDefault="005133CE" w:rsidP="00CD242F">
            <w:pPr>
              <w:jc w:val="right"/>
              <w:rPr>
                <w:sz w:val="16"/>
                <w:szCs w:val="16"/>
                <w:lang w:eastAsia="fr-FR"/>
              </w:rPr>
            </w:pPr>
            <w:r w:rsidRPr="00CD242F">
              <w:rPr>
                <w:sz w:val="16"/>
                <w:szCs w:val="16"/>
                <w:lang w:eastAsia="fr-FR"/>
              </w:rPr>
              <w:t>5 836.90</w:t>
            </w:r>
          </w:p>
        </w:tc>
      </w:tr>
      <w:tr w:rsidR="004D3F2B" w:rsidRPr="00CD242F">
        <w:trPr>
          <w:trHeight w:val="330"/>
        </w:trPr>
        <w:tc>
          <w:tcPr>
            <w:tcW w:w="1260" w:type="dxa"/>
            <w:tcBorders>
              <w:top w:val="nil"/>
              <w:left w:val="single" w:sz="4" w:space="0" w:color="auto"/>
              <w:bottom w:val="single" w:sz="4" w:space="0" w:color="auto"/>
              <w:right w:val="single" w:sz="4" w:space="0" w:color="auto"/>
            </w:tcBorders>
            <w:noWrap/>
            <w:vAlign w:val="center"/>
          </w:tcPr>
          <w:p w:rsidR="004D3F2B" w:rsidRPr="00CD242F" w:rsidRDefault="005133CE" w:rsidP="00CD242F">
            <w:pPr>
              <w:rPr>
                <w:sz w:val="16"/>
                <w:szCs w:val="16"/>
                <w:lang w:eastAsia="fr-FR"/>
              </w:rPr>
            </w:pPr>
            <w:r w:rsidRPr="00CD242F">
              <w:rPr>
                <w:sz w:val="16"/>
                <w:szCs w:val="16"/>
                <w:lang w:eastAsia="fr-FR"/>
              </w:rPr>
              <w:t xml:space="preserve">Total </w:t>
            </w:r>
          </w:p>
        </w:tc>
        <w:tc>
          <w:tcPr>
            <w:tcW w:w="1320" w:type="dxa"/>
            <w:tcBorders>
              <w:top w:val="nil"/>
              <w:left w:val="nil"/>
              <w:bottom w:val="single" w:sz="4" w:space="0" w:color="auto"/>
              <w:right w:val="nil"/>
            </w:tcBorders>
            <w:shd w:val="clear" w:color="000000" w:fill="FFFF00"/>
            <w:noWrap/>
            <w:vAlign w:val="center"/>
          </w:tcPr>
          <w:p w:rsidR="004D3F2B" w:rsidRPr="00CD242F" w:rsidRDefault="005133CE" w:rsidP="00CD242F">
            <w:pPr>
              <w:jc w:val="right"/>
              <w:rPr>
                <w:b/>
                <w:bCs/>
                <w:sz w:val="16"/>
                <w:szCs w:val="16"/>
                <w:lang w:eastAsia="fr-FR"/>
              </w:rPr>
            </w:pPr>
            <w:r w:rsidRPr="00CD242F">
              <w:rPr>
                <w:b/>
                <w:bCs/>
                <w:sz w:val="16"/>
                <w:szCs w:val="16"/>
                <w:lang w:eastAsia="fr-FR"/>
              </w:rPr>
              <w:t>30 906.00</w:t>
            </w:r>
          </w:p>
        </w:tc>
        <w:tc>
          <w:tcPr>
            <w:tcW w:w="1341" w:type="dxa"/>
            <w:tcBorders>
              <w:top w:val="nil"/>
              <w:left w:val="single" w:sz="4" w:space="0" w:color="auto"/>
              <w:bottom w:val="single" w:sz="4" w:space="0" w:color="auto"/>
              <w:right w:val="single" w:sz="4" w:space="0" w:color="auto"/>
            </w:tcBorders>
            <w:shd w:val="clear" w:color="000000" w:fill="FFFF00"/>
            <w:noWrap/>
            <w:vAlign w:val="center"/>
          </w:tcPr>
          <w:p w:rsidR="004D3F2B" w:rsidRPr="00CD242F" w:rsidRDefault="005133CE" w:rsidP="00CD242F">
            <w:pPr>
              <w:jc w:val="right"/>
              <w:rPr>
                <w:b/>
                <w:bCs/>
                <w:sz w:val="16"/>
                <w:szCs w:val="16"/>
                <w:lang w:eastAsia="fr-FR"/>
              </w:rPr>
            </w:pPr>
            <w:r w:rsidRPr="00CD242F">
              <w:rPr>
                <w:b/>
                <w:bCs/>
                <w:sz w:val="16"/>
                <w:szCs w:val="16"/>
                <w:lang w:eastAsia="fr-FR"/>
              </w:rPr>
              <w:t>11 707.75</w:t>
            </w:r>
          </w:p>
        </w:tc>
        <w:tc>
          <w:tcPr>
            <w:tcW w:w="1420" w:type="dxa"/>
            <w:tcBorders>
              <w:top w:val="nil"/>
              <w:left w:val="nil"/>
              <w:bottom w:val="single" w:sz="4" w:space="0" w:color="auto"/>
              <w:right w:val="single" w:sz="4" w:space="0" w:color="auto"/>
            </w:tcBorders>
            <w:shd w:val="clear" w:color="000000" w:fill="FFFF00"/>
            <w:noWrap/>
            <w:vAlign w:val="center"/>
          </w:tcPr>
          <w:p w:rsidR="004D3F2B" w:rsidRPr="00CD242F" w:rsidRDefault="005133CE" w:rsidP="00CD242F">
            <w:pPr>
              <w:jc w:val="right"/>
              <w:rPr>
                <w:b/>
                <w:bCs/>
                <w:sz w:val="16"/>
                <w:szCs w:val="16"/>
                <w:lang w:eastAsia="fr-FR"/>
              </w:rPr>
            </w:pPr>
            <w:r w:rsidRPr="00CD242F">
              <w:rPr>
                <w:b/>
                <w:bCs/>
                <w:sz w:val="16"/>
                <w:szCs w:val="16"/>
                <w:lang w:eastAsia="fr-FR"/>
              </w:rPr>
              <w:t>42 682.85</w:t>
            </w:r>
          </w:p>
        </w:tc>
        <w:tc>
          <w:tcPr>
            <w:tcW w:w="1340" w:type="dxa"/>
            <w:tcBorders>
              <w:top w:val="nil"/>
              <w:left w:val="nil"/>
              <w:bottom w:val="single" w:sz="4" w:space="0" w:color="auto"/>
              <w:right w:val="single" w:sz="4" w:space="0" w:color="auto"/>
            </w:tcBorders>
            <w:shd w:val="clear" w:color="000000" w:fill="FFFF00"/>
            <w:noWrap/>
            <w:vAlign w:val="center"/>
          </w:tcPr>
          <w:p w:rsidR="004D3F2B" w:rsidRPr="00CD242F" w:rsidRDefault="005133CE" w:rsidP="00CD242F">
            <w:pPr>
              <w:jc w:val="right"/>
              <w:rPr>
                <w:b/>
                <w:bCs/>
                <w:sz w:val="16"/>
                <w:szCs w:val="16"/>
                <w:lang w:eastAsia="fr-FR"/>
              </w:rPr>
            </w:pPr>
            <w:r w:rsidRPr="00CD242F">
              <w:rPr>
                <w:b/>
                <w:bCs/>
                <w:sz w:val="16"/>
                <w:szCs w:val="16"/>
                <w:lang w:eastAsia="fr-FR"/>
              </w:rPr>
              <w:t>3 189.30</w:t>
            </w:r>
          </w:p>
        </w:tc>
        <w:tc>
          <w:tcPr>
            <w:tcW w:w="1300" w:type="dxa"/>
            <w:tcBorders>
              <w:top w:val="nil"/>
              <w:left w:val="nil"/>
              <w:bottom w:val="single" w:sz="4" w:space="0" w:color="auto"/>
              <w:right w:val="single" w:sz="4" w:space="0" w:color="auto"/>
            </w:tcBorders>
            <w:shd w:val="clear" w:color="000000" w:fill="FFFF00"/>
            <w:noWrap/>
            <w:vAlign w:val="center"/>
          </w:tcPr>
          <w:p w:rsidR="004D3F2B" w:rsidRPr="00CD242F" w:rsidRDefault="005133CE" w:rsidP="00CD242F">
            <w:pPr>
              <w:jc w:val="right"/>
              <w:rPr>
                <w:b/>
                <w:bCs/>
                <w:sz w:val="16"/>
                <w:szCs w:val="16"/>
                <w:lang w:eastAsia="fr-FR"/>
              </w:rPr>
            </w:pPr>
            <w:r w:rsidRPr="00CD242F">
              <w:rPr>
                <w:b/>
                <w:bCs/>
                <w:sz w:val="16"/>
                <w:szCs w:val="16"/>
                <w:lang w:eastAsia="fr-FR"/>
              </w:rPr>
              <w:t>45 872.15</w:t>
            </w:r>
          </w:p>
        </w:tc>
      </w:tr>
    </w:tbl>
    <w:p w:rsidR="004D3F2B" w:rsidRDefault="00363127" w:rsidP="004D3F2B">
      <w:pPr>
        <w:rPr>
          <w:sz w:val="22"/>
          <w:szCs w:val="22"/>
        </w:rPr>
      </w:pPr>
    </w:p>
    <w:p w:rsidR="004D3F2B" w:rsidRDefault="00363127" w:rsidP="004D3F2B">
      <w:pPr>
        <w:rPr>
          <w:sz w:val="22"/>
          <w:szCs w:val="22"/>
        </w:rPr>
      </w:pPr>
    </w:p>
    <w:p w:rsidR="004D3F2B" w:rsidRDefault="005133CE" w:rsidP="004D3F2B">
      <w:pPr>
        <w:rPr>
          <w:sz w:val="22"/>
          <w:szCs w:val="22"/>
        </w:rPr>
      </w:pPr>
      <w:r>
        <w:rPr>
          <w:sz w:val="22"/>
          <w:szCs w:val="22"/>
        </w:rPr>
        <w:t>TABLEAU 2– EVOLUTION DES PRIX DE 2009 à 2012</w:t>
      </w:r>
    </w:p>
    <w:p w:rsidR="004D3F2B" w:rsidRDefault="00363127" w:rsidP="004D3F2B">
      <w:pPr>
        <w:rPr>
          <w:sz w:val="22"/>
          <w:szCs w:val="22"/>
        </w:rPr>
      </w:pPr>
    </w:p>
    <w:tbl>
      <w:tblPr>
        <w:tblW w:w="9858" w:type="dxa"/>
        <w:tblInd w:w="-290" w:type="dxa"/>
        <w:tblCellMar>
          <w:left w:w="70" w:type="dxa"/>
          <w:right w:w="70" w:type="dxa"/>
        </w:tblCellMar>
        <w:tblLook w:val="0000"/>
      </w:tblPr>
      <w:tblGrid>
        <w:gridCol w:w="540"/>
        <w:gridCol w:w="1260"/>
        <w:gridCol w:w="1080"/>
        <w:gridCol w:w="1440"/>
        <w:gridCol w:w="1260"/>
        <w:gridCol w:w="1080"/>
        <w:gridCol w:w="395"/>
        <w:gridCol w:w="1243"/>
        <w:gridCol w:w="1560"/>
      </w:tblGrid>
      <w:tr w:rsidR="004D3F2B" w:rsidRPr="00F162FD">
        <w:trPr>
          <w:trHeight w:val="358"/>
        </w:trPr>
        <w:tc>
          <w:tcPr>
            <w:tcW w:w="540" w:type="dxa"/>
            <w:tcBorders>
              <w:top w:val="nil"/>
              <w:left w:val="nil"/>
              <w:bottom w:val="nil"/>
              <w:right w:val="nil"/>
            </w:tcBorders>
            <w:vAlign w:val="center"/>
          </w:tcPr>
          <w:p w:rsidR="004D3F2B" w:rsidRPr="00F162FD" w:rsidRDefault="00363127" w:rsidP="003304D7">
            <w:pPr>
              <w:jc w:val="center"/>
              <w:rPr>
                <w:rFonts w:ascii="Times New Roman" w:hAnsi="Times New Roman"/>
                <w:sz w:val="22"/>
                <w:szCs w:val="22"/>
              </w:rPr>
            </w:pPr>
          </w:p>
        </w:tc>
        <w:tc>
          <w:tcPr>
            <w:tcW w:w="5040" w:type="dxa"/>
            <w:gridSpan w:val="4"/>
            <w:tcBorders>
              <w:top w:val="single" w:sz="4" w:space="0" w:color="auto"/>
              <w:left w:val="single" w:sz="4" w:space="0" w:color="auto"/>
              <w:bottom w:val="single" w:sz="4" w:space="0" w:color="auto"/>
              <w:right w:val="single" w:sz="4" w:space="0" w:color="auto"/>
            </w:tcBorders>
            <w:vAlign w:val="center"/>
          </w:tcPr>
          <w:p w:rsidR="004D3F2B" w:rsidRPr="00F162FD" w:rsidRDefault="005133CE" w:rsidP="003304D7">
            <w:pPr>
              <w:jc w:val="center"/>
              <w:rPr>
                <w:rFonts w:ascii="Times New Roman" w:hAnsi="Times New Roman"/>
                <w:b/>
                <w:sz w:val="22"/>
                <w:szCs w:val="22"/>
              </w:rPr>
            </w:pPr>
            <w:r w:rsidRPr="00F162FD">
              <w:rPr>
                <w:rFonts w:ascii="Times New Roman" w:hAnsi="Times New Roman"/>
                <w:b/>
                <w:sz w:val="22"/>
                <w:szCs w:val="22"/>
              </w:rPr>
              <w:t>Production</w:t>
            </w:r>
            <w:r w:rsidR="00365930">
              <w:rPr>
                <w:rFonts w:ascii="Times New Roman" w:hAnsi="Times New Roman"/>
                <w:b/>
                <w:sz w:val="22"/>
                <w:szCs w:val="22"/>
              </w:rPr>
              <w:t xml:space="preserve"> contrôlée</w:t>
            </w:r>
          </w:p>
        </w:tc>
        <w:tc>
          <w:tcPr>
            <w:tcW w:w="4278" w:type="dxa"/>
            <w:gridSpan w:val="4"/>
            <w:tcBorders>
              <w:top w:val="single" w:sz="4" w:space="0" w:color="auto"/>
              <w:left w:val="nil"/>
              <w:bottom w:val="single" w:sz="4" w:space="0" w:color="auto"/>
              <w:right w:val="single" w:sz="4" w:space="0" w:color="auto"/>
            </w:tcBorders>
            <w:vAlign w:val="center"/>
          </w:tcPr>
          <w:p w:rsidR="004D3F2B" w:rsidRPr="00F162FD" w:rsidRDefault="005133CE" w:rsidP="003304D7">
            <w:pPr>
              <w:jc w:val="center"/>
              <w:rPr>
                <w:rFonts w:ascii="Times New Roman" w:hAnsi="Times New Roman"/>
                <w:b/>
                <w:bCs/>
                <w:sz w:val="22"/>
                <w:szCs w:val="22"/>
              </w:rPr>
            </w:pPr>
            <w:r w:rsidRPr="00F162FD">
              <w:rPr>
                <w:rFonts w:ascii="Times New Roman" w:hAnsi="Times New Roman"/>
                <w:b/>
                <w:bCs/>
                <w:sz w:val="22"/>
                <w:szCs w:val="22"/>
              </w:rPr>
              <w:t>Exportation</w:t>
            </w:r>
          </w:p>
        </w:tc>
      </w:tr>
      <w:tr w:rsidR="004D3F2B" w:rsidRPr="004E33EC">
        <w:trPr>
          <w:trHeight w:val="1110"/>
        </w:trPr>
        <w:tc>
          <w:tcPr>
            <w:tcW w:w="540" w:type="dxa"/>
            <w:tcBorders>
              <w:top w:val="nil"/>
              <w:left w:val="nil"/>
              <w:bottom w:val="nil"/>
              <w:right w:val="nil"/>
            </w:tcBorders>
            <w:vAlign w:val="center"/>
          </w:tcPr>
          <w:p w:rsidR="004D3F2B" w:rsidRPr="004E33EC" w:rsidRDefault="00363127" w:rsidP="003304D7">
            <w:pPr>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Production Vanille mûre Kg</w:t>
            </w:r>
          </w:p>
        </w:tc>
        <w:tc>
          <w:tcPr>
            <w:tcW w:w="1080" w:type="dxa"/>
            <w:tcBorders>
              <w:top w:val="single" w:sz="4" w:space="0" w:color="auto"/>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Prix Moyen Vanille mûre FCFP/Kg</w:t>
            </w:r>
          </w:p>
        </w:tc>
        <w:tc>
          <w:tcPr>
            <w:tcW w:w="1440" w:type="dxa"/>
            <w:tcBorders>
              <w:top w:val="single" w:sz="4" w:space="0" w:color="auto"/>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Variation du prix de vente (N/N-1)</w:t>
            </w:r>
            <w:r w:rsidRPr="004E33EC">
              <w:rPr>
                <w:rFonts w:ascii="Times New Roman" w:hAnsi="Times New Roman"/>
              </w:rPr>
              <w:t xml:space="preserve"> </w:t>
            </w:r>
          </w:p>
        </w:tc>
        <w:tc>
          <w:tcPr>
            <w:tcW w:w="1260" w:type="dxa"/>
            <w:tcBorders>
              <w:top w:val="single" w:sz="4" w:space="0" w:color="auto"/>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Variation du prix matière premiere sur 3 ans</w:t>
            </w:r>
          </w:p>
        </w:tc>
        <w:tc>
          <w:tcPr>
            <w:tcW w:w="1080" w:type="dxa"/>
            <w:tcBorders>
              <w:top w:val="single" w:sz="4" w:space="0" w:color="auto"/>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Exportation de Vanille préparée au Kg/récolte</w:t>
            </w:r>
          </w:p>
        </w:tc>
        <w:tc>
          <w:tcPr>
            <w:tcW w:w="395" w:type="dxa"/>
            <w:tcBorders>
              <w:top w:val="single" w:sz="4" w:space="0" w:color="auto"/>
              <w:left w:val="nil"/>
              <w:bottom w:val="single" w:sz="4" w:space="0" w:color="auto"/>
              <w:right w:val="single" w:sz="4" w:space="0" w:color="auto"/>
            </w:tcBorders>
            <w:vAlign w:val="center"/>
          </w:tcPr>
          <w:p w:rsidR="004D3F2B" w:rsidRPr="004E33EC" w:rsidRDefault="00363127" w:rsidP="003304D7">
            <w:pPr>
              <w:jc w:val="center"/>
              <w:rPr>
                <w:rFonts w:ascii="Times New Roman" w:hAnsi="Times New Roman"/>
              </w:rPr>
            </w:pPr>
          </w:p>
        </w:tc>
        <w:tc>
          <w:tcPr>
            <w:tcW w:w="1243" w:type="dxa"/>
            <w:tcBorders>
              <w:top w:val="single" w:sz="4" w:space="0" w:color="auto"/>
              <w:left w:val="single" w:sz="4" w:space="0" w:color="auto"/>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Variation du prix de vente (N/N-1)</w:t>
            </w:r>
            <w:r w:rsidRPr="004E33EC">
              <w:rPr>
                <w:rFonts w:ascii="Times New Roman" w:hAnsi="Times New Roman"/>
              </w:rPr>
              <w:t xml:space="preserve"> </w:t>
            </w:r>
          </w:p>
        </w:tc>
        <w:tc>
          <w:tcPr>
            <w:tcW w:w="1560" w:type="dxa"/>
            <w:tcBorders>
              <w:top w:val="single" w:sz="4" w:space="0" w:color="auto"/>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bCs/>
              </w:rPr>
            </w:pPr>
            <w:r w:rsidRPr="004E33EC">
              <w:rPr>
                <w:rFonts w:ascii="Times New Roman" w:hAnsi="Times New Roman"/>
                <w:bCs/>
              </w:rPr>
              <w:t xml:space="preserve">Variation des </w:t>
            </w:r>
            <w:r>
              <w:rPr>
                <w:rFonts w:ascii="Times New Roman" w:hAnsi="Times New Roman"/>
                <w:bCs/>
              </w:rPr>
              <w:t>des prix sur 3 ans</w:t>
            </w:r>
            <w:r w:rsidRPr="004E33EC">
              <w:rPr>
                <w:rFonts w:ascii="Times New Roman" w:hAnsi="Times New Roman"/>
                <w:bCs/>
              </w:rPr>
              <w:t xml:space="preserve"> </w:t>
            </w:r>
          </w:p>
        </w:tc>
      </w:tr>
      <w:tr w:rsidR="004D3F2B" w:rsidRPr="004E33EC">
        <w:trPr>
          <w:trHeight w:val="390"/>
        </w:trPr>
        <w:tc>
          <w:tcPr>
            <w:tcW w:w="540" w:type="dxa"/>
            <w:tcBorders>
              <w:top w:val="single" w:sz="4" w:space="0" w:color="auto"/>
              <w:left w:val="single" w:sz="4" w:space="0" w:color="auto"/>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2009</w:t>
            </w:r>
          </w:p>
        </w:tc>
        <w:tc>
          <w:tcPr>
            <w:tcW w:w="126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72 943,00</w:t>
            </w: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2 747</w:t>
            </w:r>
          </w:p>
        </w:tc>
        <w:tc>
          <w:tcPr>
            <w:tcW w:w="1440" w:type="dxa"/>
            <w:tcBorders>
              <w:top w:val="nil"/>
              <w:left w:val="nil"/>
              <w:bottom w:val="single" w:sz="4" w:space="0" w:color="auto"/>
              <w:right w:val="single" w:sz="4" w:space="0" w:color="auto"/>
            </w:tcBorders>
            <w:vAlign w:val="center"/>
          </w:tcPr>
          <w:p w:rsidR="004D3F2B" w:rsidRPr="004E33EC" w:rsidRDefault="005133CE" w:rsidP="003304D7">
            <w:pPr>
              <w:rPr>
                <w:rFonts w:ascii="Times New Roman" w:hAnsi="Times New Roman"/>
              </w:rPr>
            </w:pPr>
            <w:r w:rsidRPr="004E33EC">
              <w:rPr>
                <w:rFonts w:ascii="Times New Roman" w:hAnsi="Times New Roman"/>
              </w:rPr>
              <w:t> </w:t>
            </w:r>
          </w:p>
        </w:tc>
        <w:tc>
          <w:tcPr>
            <w:tcW w:w="1260" w:type="dxa"/>
            <w:vMerge w:val="restart"/>
            <w:tcBorders>
              <w:top w:val="nil"/>
              <w:left w:val="single" w:sz="4" w:space="0" w:color="auto"/>
              <w:bottom w:val="single" w:sz="4" w:space="0" w:color="auto"/>
              <w:right w:val="single" w:sz="4" w:space="0" w:color="auto"/>
            </w:tcBorders>
            <w:vAlign w:val="center"/>
          </w:tcPr>
          <w:p w:rsidR="004D3F2B" w:rsidRPr="00255313" w:rsidRDefault="005133CE" w:rsidP="003304D7">
            <w:pPr>
              <w:jc w:val="center"/>
              <w:rPr>
                <w:rFonts w:ascii="Times New Roman" w:hAnsi="Times New Roman"/>
                <w:sz w:val="24"/>
                <w:szCs w:val="24"/>
              </w:rPr>
            </w:pPr>
            <w:r w:rsidRPr="00765D0C">
              <w:rPr>
                <w:rFonts w:ascii="Times New Roman" w:hAnsi="Times New Roman"/>
                <w:sz w:val="24"/>
                <w:szCs w:val="24"/>
              </w:rPr>
              <w:t>+85,70%</w:t>
            </w: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right"/>
              <w:rPr>
                <w:rFonts w:ascii="Times New Roman" w:hAnsi="Times New Roman"/>
              </w:rPr>
            </w:pPr>
            <w:r>
              <w:rPr>
                <w:rFonts w:ascii="Times New Roman" w:hAnsi="Times New Roman"/>
              </w:rPr>
              <w:t>14 215</w:t>
            </w:r>
          </w:p>
        </w:tc>
        <w:tc>
          <w:tcPr>
            <w:tcW w:w="395" w:type="dxa"/>
            <w:tcBorders>
              <w:top w:val="single" w:sz="4" w:space="0" w:color="auto"/>
              <w:left w:val="nil"/>
              <w:bottom w:val="single" w:sz="4" w:space="0" w:color="auto"/>
              <w:right w:val="single" w:sz="4" w:space="0" w:color="auto"/>
            </w:tcBorders>
            <w:vAlign w:val="center"/>
          </w:tcPr>
          <w:p w:rsidR="004D3F2B" w:rsidRPr="004E33EC" w:rsidRDefault="00363127" w:rsidP="003304D7">
            <w:pPr>
              <w:jc w:val="center"/>
              <w:rPr>
                <w:rFonts w:ascii="Times New Roman" w:hAnsi="Times New Roman"/>
              </w:rPr>
            </w:pPr>
          </w:p>
        </w:tc>
        <w:tc>
          <w:tcPr>
            <w:tcW w:w="1243" w:type="dxa"/>
            <w:tcBorders>
              <w:top w:val="single" w:sz="4" w:space="0" w:color="auto"/>
              <w:left w:val="single" w:sz="4" w:space="0" w:color="auto"/>
              <w:bottom w:val="single" w:sz="4" w:space="0" w:color="auto"/>
              <w:right w:val="single" w:sz="4" w:space="0" w:color="auto"/>
            </w:tcBorders>
            <w:noWrap/>
            <w:vAlign w:val="center"/>
          </w:tcPr>
          <w:p w:rsidR="004D3F2B" w:rsidRPr="004E33EC" w:rsidRDefault="00363127" w:rsidP="003304D7">
            <w:pPr>
              <w:jc w:val="center"/>
              <w:rPr>
                <w:rFonts w:ascii="Times New Roman" w:hAnsi="Times New Roman"/>
              </w:rPr>
            </w:pPr>
          </w:p>
        </w:tc>
        <w:tc>
          <w:tcPr>
            <w:tcW w:w="1560" w:type="dxa"/>
            <w:vMerge w:val="restart"/>
            <w:tcBorders>
              <w:top w:val="single" w:sz="4" w:space="0" w:color="auto"/>
              <w:left w:val="single" w:sz="4" w:space="0" w:color="auto"/>
              <w:right w:val="single" w:sz="4" w:space="0" w:color="auto"/>
            </w:tcBorders>
            <w:vAlign w:val="center"/>
          </w:tcPr>
          <w:p w:rsidR="004D3F2B" w:rsidRPr="00255313" w:rsidRDefault="005133CE" w:rsidP="003304D7">
            <w:pPr>
              <w:jc w:val="center"/>
              <w:rPr>
                <w:rFonts w:ascii="Times New Roman" w:hAnsi="Times New Roman"/>
                <w:sz w:val="24"/>
                <w:szCs w:val="24"/>
              </w:rPr>
            </w:pPr>
            <w:r>
              <w:rPr>
                <w:rFonts w:ascii="Times New Roman" w:hAnsi="Times New Roman"/>
                <w:sz w:val="24"/>
                <w:szCs w:val="24"/>
              </w:rPr>
              <w:t>+7,42%</w:t>
            </w:r>
          </w:p>
        </w:tc>
      </w:tr>
      <w:tr w:rsidR="004D3F2B" w:rsidRPr="004E33EC">
        <w:trPr>
          <w:trHeight w:val="390"/>
        </w:trPr>
        <w:tc>
          <w:tcPr>
            <w:tcW w:w="540" w:type="dxa"/>
            <w:tcBorders>
              <w:top w:val="nil"/>
              <w:left w:val="single" w:sz="4" w:space="0" w:color="auto"/>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2010</w:t>
            </w:r>
          </w:p>
        </w:tc>
        <w:tc>
          <w:tcPr>
            <w:tcW w:w="126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37 758,00</w:t>
            </w: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3 136</w:t>
            </w:r>
          </w:p>
        </w:tc>
        <w:tc>
          <w:tcPr>
            <w:tcW w:w="1440" w:type="dxa"/>
            <w:tcBorders>
              <w:top w:val="nil"/>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sidRPr="004E33EC">
              <w:rPr>
                <w:rFonts w:ascii="Times New Roman" w:hAnsi="Times New Roman"/>
              </w:rPr>
              <w:t>14,16%</w:t>
            </w:r>
          </w:p>
        </w:tc>
        <w:tc>
          <w:tcPr>
            <w:tcW w:w="1260" w:type="dxa"/>
            <w:vMerge/>
            <w:tcBorders>
              <w:top w:val="nil"/>
              <w:left w:val="single" w:sz="4" w:space="0" w:color="auto"/>
              <w:bottom w:val="single" w:sz="4" w:space="0" w:color="auto"/>
              <w:right w:val="single" w:sz="4" w:space="0" w:color="auto"/>
            </w:tcBorders>
            <w:vAlign w:val="center"/>
          </w:tcPr>
          <w:p w:rsidR="004D3F2B" w:rsidRPr="004E33EC" w:rsidRDefault="00363127" w:rsidP="003304D7">
            <w:pPr>
              <w:rPr>
                <w:rFonts w:ascii="Times New Roman" w:hAnsi="Times New Roman"/>
              </w:rPr>
            </w:pP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right"/>
              <w:rPr>
                <w:rFonts w:ascii="Times New Roman" w:hAnsi="Times New Roman"/>
              </w:rPr>
            </w:pPr>
            <w:r>
              <w:rPr>
                <w:rFonts w:ascii="Times New Roman" w:hAnsi="Times New Roman"/>
              </w:rPr>
              <w:t>12 228</w:t>
            </w:r>
          </w:p>
        </w:tc>
        <w:tc>
          <w:tcPr>
            <w:tcW w:w="395" w:type="dxa"/>
            <w:tcBorders>
              <w:top w:val="single" w:sz="4" w:space="0" w:color="auto"/>
              <w:left w:val="nil"/>
              <w:bottom w:val="single" w:sz="4" w:space="0" w:color="auto"/>
              <w:right w:val="single" w:sz="4" w:space="0" w:color="auto"/>
            </w:tcBorders>
            <w:vAlign w:val="center"/>
          </w:tcPr>
          <w:p w:rsidR="004D3F2B" w:rsidRPr="004E33EC" w:rsidRDefault="00363127" w:rsidP="003304D7">
            <w:pPr>
              <w:jc w:val="center"/>
              <w:rPr>
                <w:rFonts w:ascii="Times New Roman" w:hAnsi="Times New Roman"/>
              </w:rPr>
            </w:pPr>
          </w:p>
        </w:tc>
        <w:tc>
          <w:tcPr>
            <w:tcW w:w="1243" w:type="dxa"/>
            <w:tcBorders>
              <w:top w:val="single" w:sz="4" w:space="0" w:color="auto"/>
              <w:left w:val="single" w:sz="4" w:space="0" w:color="auto"/>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3.56%</w:t>
            </w:r>
          </w:p>
        </w:tc>
        <w:tc>
          <w:tcPr>
            <w:tcW w:w="1560" w:type="dxa"/>
            <w:vMerge/>
            <w:tcBorders>
              <w:left w:val="single" w:sz="4" w:space="0" w:color="auto"/>
              <w:right w:val="single" w:sz="4" w:space="0" w:color="auto"/>
            </w:tcBorders>
          </w:tcPr>
          <w:p w:rsidR="004D3F2B" w:rsidRPr="004E33EC" w:rsidRDefault="00363127" w:rsidP="003304D7">
            <w:pPr>
              <w:jc w:val="center"/>
              <w:rPr>
                <w:rFonts w:ascii="Times New Roman" w:hAnsi="Times New Roman"/>
              </w:rPr>
            </w:pPr>
          </w:p>
        </w:tc>
      </w:tr>
      <w:tr w:rsidR="004D3F2B" w:rsidRPr="004E33EC">
        <w:trPr>
          <w:trHeight w:val="330"/>
        </w:trPr>
        <w:tc>
          <w:tcPr>
            <w:tcW w:w="540" w:type="dxa"/>
            <w:tcBorders>
              <w:top w:val="nil"/>
              <w:left w:val="single" w:sz="4" w:space="0" w:color="auto"/>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2011</w:t>
            </w:r>
          </w:p>
        </w:tc>
        <w:tc>
          <w:tcPr>
            <w:tcW w:w="126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42 799,82</w:t>
            </w: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3 918</w:t>
            </w:r>
          </w:p>
        </w:tc>
        <w:tc>
          <w:tcPr>
            <w:tcW w:w="1440" w:type="dxa"/>
            <w:tcBorders>
              <w:top w:val="nil"/>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sidRPr="004E33EC">
              <w:rPr>
                <w:rFonts w:ascii="Times New Roman" w:hAnsi="Times New Roman"/>
              </w:rPr>
              <w:t>24,93%</w:t>
            </w:r>
          </w:p>
        </w:tc>
        <w:tc>
          <w:tcPr>
            <w:tcW w:w="1260" w:type="dxa"/>
            <w:vMerge/>
            <w:tcBorders>
              <w:top w:val="nil"/>
              <w:left w:val="single" w:sz="4" w:space="0" w:color="auto"/>
              <w:bottom w:val="single" w:sz="4" w:space="0" w:color="auto"/>
              <w:right w:val="single" w:sz="4" w:space="0" w:color="auto"/>
            </w:tcBorders>
            <w:vAlign w:val="center"/>
          </w:tcPr>
          <w:p w:rsidR="004D3F2B" w:rsidRPr="004E33EC" w:rsidRDefault="00363127" w:rsidP="003304D7">
            <w:pPr>
              <w:rPr>
                <w:rFonts w:ascii="Times New Roman" w:hAnsi="Times New Roman"/>
              </w:rPr>
            </w:pP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right"/>
              <w:rPr>
                <w:rFonts w:ascii="Times New Roman" w:hAnsi="Times New Roman"/>
              </w:rPr>
            </w:pPr>
            <w:r>
              <w:rPr>
                <w:rFonts w:ascii="Times New Roman" w:hAnsi="Times New Roman"/>
              </w:rPr>
              <w:t>16 106</w:t>
            </w:r>
          </w:p>
        </w:tc>
        <w:tc>
          <w:tcPr>
            <w:tcW w:w="395" w:type="dxa"/>
            <w:tcBorders>
              <w:top w:val="single" w:sz="4" w:space="0" w:color="auto"/>
              <w:left w:val="nil"/>
              <w:bottom w:val="single" w:sz="4" w:space="0" w:color="auto"/>
              <w:right w:val="single" w:sz="4" w:space="0" w:color="auto"/>
            </w:tcBorders>
            <w:vAlign w:val="center"/>
          </w:tcPr>
          <w:p w:rsidR="004D3F2B" w:rsidRPr="004E33EC" w:rsidRDefault="00363127" w:rsidP="003304D7">
            <w:pPr>
              <w:jc w:val="center"/>
              <w:rPr>
                <w:rFonts w:ascii="Times New Roman" w:hAnsi="Times New Roman"/>
              </w:rPr>
            </w:pPr>
          </w:p>
        </w:tc>
        <w:tc>
          <w:tcPr>
            <w:tcW w:w="1243" w:type="dxa"/>
            <w:tcBorders>
              <w:top w:val="nil"/>
              <w:left w:val="single" w:sz="4" w:space="0" w:color="auto"/>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-0,65%</w:t>
            </w:r>
          </w:p>
        </w:tc>
        <w:tc>
          <w:tcPr>
            <w:tcW w:w="1560" w:type="dxa"/>
            <w:vMerge/>
            <w:tcBorders>
              <w:left w:val="single" w:sz="4" w:space="0" w:color="auto"/>
              <w:right w:val="single" w:sz="4" w:space="0" w:color="auto"/>
            </w:tcBorders>
          </w:tcPr>
          <w:p w:rsidR="004D3F2B" w:rsidRPr="004E33EC" w:rsidRDefault="00363127" w:rsidP="003304D7">
            <w:pPr>
              <w:jc w:val="center"/>
              <w:rPr>
                <w:rFonts w:ascii="Times New Roman" w:hAnsi="Times New Roman"/>
              </w:rPr>
            </w:pPr>
          </w:p>
        </w:tc>
      </w:tr>
      <w:tr w:rsidR="004D3F2B" w:rsidRPr="004E33EC">
        <w:trPr>
          <w:trHeight w:val="330"/>
        </w:trPr>
        <w:tc>
          <w:tcPr>
            <w:tcW w:w="540" w:type="dxa"/>
            <w:tcBorders>
              <w:top w:val="nil"/>
              <w:left w:val="single" w:sz="4" w:space="0" w:color="auto"/>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sidRPr="004E33EC">
              <w:rPr>
                <w:rFonts w:ascii="Times New Roman" w:hAnsi="Times New Roman"/>
              </w:rPr>
              <w:t>2012</w:t>
            </w:r>
          </w:p>
        </w:tc>
        <w:tc>
          <w:tcPr>
            <w:tcW w:w="126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Pr>
                <w:rFonts w:ascii="Times New Roman" w:hAnsi="Times New Roman"/>
              </w:rPr>
              <w:t>42 682,8</w:t>
            </w:r>
            <w:r w:rsidRPr="004E33EC">
              <w:rPr>
                <w:rFonts w:ascii="Times New Roman" w:hAnsi="Times New Roman"/>
              </w:rPr>
              <w:t>5</w:t>
            </w:r>
          </w:p>
        </w:tc>
        <w:tc>
          <w:tcPr>
            <w:tcW w:w="1080" w:type="dxa"/>
            <w:tcBorders>
              <w:top w:val="nil"/>
              <w:left w:val="nil"/>
              <w:bottom w:val="single" w:sz="4" w:space="0" w:color="auto"/>
              <w:right w:val="single" w:sz="4" w:space="0" w:color="auto"/>
            </w:tcBorders>
            <w:noWrap/>
            <w:vAlign w:val="center"/>
          </w:tcPr>
          <w:p w:rsidR="004D3F2B" w:rsidRPr="004E33EC" w:rsidRDefault="005133CE" w:rsidP="003304D7">
            <w:pPr>
              <w:jc w:val="center"/>
              <w:rPr>
                <w:rFonts w:ascii="Times New Roman" w:hAnsi="Times New Roman"/>
              </w:rPr>
            </w:pPr>
            <w:r>
              <w:rPr>
                <w:rFonts w:ascii="Times New Roman" w:hAnsi="Times New Roman"/>
              </w:rPr>
              <w:t>5 101</w:t>
            </w:r>
          </w:p>
        </w:tc>
        <w:tc>
          <w:tcPr>
            <w:tcW w:w="1440" w:type="dxa"/>
            <w:tcBorders>
              <w:top w:val="nil"/>
              <w:left w:val="nil"/>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30,21</w:t>
            </w:r>
            <w:r w:rsidRPr="004E33EC">
              <w:rPr>
                <w:rFonts w:ascii="Times New Roman" w:hAnsi="Times New Roman"/>
              </w:rPr>
              <w:t>%</w:t>
            </w:r>
          </w:p>
        </w:tc>
        <w:tc>
          <w:tcPr>
            <w:tcW w:w="1260" w:type="dxa"/>
            <w:vMerge/>
            <w:tcBorders>
              <w:top w:val="nil"/>
              <w:left w:val="single" w:sz="4" w:space="0" w:color="auto"/>
              <w:bottom w:val="single" w:sz="4" w:space="0" w:color="auto"/>
              <w:right w:val="single" w:sz="4" w:space="0" w:color="auto"/>
            </w:tcBorders>
            <w:vAlign w:val="center"/>
          </w:tcPr>
          <w:p w:rsidR="004D3F2B" w:rsidRPr="004E33EC" w:rsidRDefault="00363127" w:rsidP="003304D7">
            <w:pPr>
              <w:rPr>
                <w:rFonts w:ascii="Times New Roman" w:hAnsi="Times New Roman"/>
              </w:rPr>
            </w:pPr>
          </w:p>
        </w:tc>
        <w:tc>
          <w:tcPr>
            <w:tcW w:w="1080" w:type="dxa"/>
            <w:tcBorders>
              <w:top w:val="nil"/>
              <w:left w:val="nil"/>
              <w:bottom w:val="single" w:sz="4" w:space="0" w:color="auto"/>
              <w:right w:val="single" w:sz="4" w:space="0" w:color="auto"/>
            </w:tcBorders>
            <w:noWrap/>
            <w:vAlign w:val="center"/>
          </w:tcPr>
          <w:p w:rsidR="004D3F2B" w:rsidRPr="003304D7" w:rsidRDefault="005133CE" w:rsidP="003304D7">
            <w:pPr>
              <w:jc w:val="right"/>
              <w:rPr>
                <w:rFonts w:ascii="Times New Roman" w:hAnsi="Times New Roman"/>
                <w:i/>
              </w:rPr>
            </w:pPr>
            <w:r>
              <w:rPr>
                <w:rFonts w:ascii="Times New Roman" w:hAnsi="Times New Roman"/>
                <w:i/>
              </w:rPr>
              <w:t>*</w:t>
            </w:r>
            <w:r w:rsidRPr="003304D7">
              <w:rPr>
                <w:rFonts w:ascii="Times New Roman" w:hAnsi="Times New Roman"/>
                <w:i/>
              </w:rPr>
              <w:t>8 349</w:t>
            </w:r>
          </w:p>
        </w:tc>
        <w:tc>
          <w:tcPr>
            <w:tcW w:w="395" w:type="dxa"/>
            <w:tcBorders>
              <w:top w:val="single" w:sz="4" w:space="0" w:color="auto"/>
              <w:left w:val="single" w:sz="4" w:space="0" w:color="auto"/>
              <w:bottom w:val="single" w:sz="4" w:space="0" w:color="auto"/>
              <w:right w:val="single" w:sz="4" w:space="0" w:color="auto"/>
            </w:tcBorders>
          </w:tcPr>
          <w:p w:rsidR="004D3F2B" w:rsidRPr="004E33EC" w:rsidRDefault="00363127" w:rsidP="003304D7">
            <w:pPr>
              <w:jc w:val="center"/>
              <w:rPr>
                <w:rFonts w:ascii="Times New Roman" w:hAnsi="Times New Roman"/>
              </w:rPr>
            </w:pPr>
          </w:p>
        </w:tc>
        <w:tc>
          <w:tcPr>
            <w:tcW w:w="1243" w:type="dxa"/>
            <w:tcBorders>
              <w:top w:val="single" w:sz="4" w:space="0" w:color="auto"/>
              <w:left w:val="single" w:sz="4" w:space="0" w:color="auto"/>
              <w:bottom w:val="single" w:sz="4" w:space="0" w:color="auto"/>
              <w:right w:val="single" w:sz="4" w:space="0" w:color="auto"/>
            </w:tcBorders>
            <w:vAlign w:val="center"/>
          </w:tcPr>
          <w:p w:rsidR="004D3F2B" w:rsidRPr="004E33EC" w:rsidRDefault="005133CE" w:rsidP="003304D7">
            <w:pPr>
              <w:jc w:val="center"/>
              <w:rPr>
                <w:rFonts w:ascii="Times New Roman" w:hAnsi="Times New Roman"/>
              </w:rPr>
            </w:pPr>
            <w:r>
              <w:rPr>
                <w:rFonts w:ascii="Times New Roman" w:hAnsi="Times New Roman"/>
              </w:rPr>
              <w:t>4,42%</w:t>
            </w:r>
          </w:p>
        </w:tc>
        <w:tc>
          <w:tcPr>
            <w:tcW w:w="1560" w:type="dxa"/>
            <w:vMerge/>
            <w:tcBorders>
              <w:left w:val="single" w:sz="4" w:space="0" w:color="auto"/>
              <w:bottom w:val="single" w:sz="4" w:space="0" w:color="auto"/>
              <w:right w:val="single" w:sz="4" w:space="0" w:color="auto"/>
            </w:tcBorders>
          </w:tcPr>
          <w:p w:rsidR="004D3F2B" w:rsidRPr="004E33EC" w:rsidRDefault="00363127" w:rsidP="003304D7">
            <w:pPr>
              <w:jc w:val="center"/>
              <w:rPr>
                <w:rFonts w:ascii="Times New Roman" w:hAnsi="Times New Roman"/>
              </w:rPr>
            </w:pPr>
          </w:p>
        </w:tc>
      </w:tr>
    </w:tbl>
    <w:p w:rsidR="004D3F2B" w:rsidRPr="003304D7" w:rsidRDefault="005133CE" w:rsidP="004D3F2B">
      <w:pPr>
        <w:pStyle w:val="Retraitcorpsdetexte"/>
        <w:ind w:left="0"/>
        <w:jc w:val="both"/>
        <w:rPr>
          <w:rFonts w:ascii="Century Gothic" w:hAnsi="Century Gothic"/>
          <w:i/>
          <w:sz w:val="20"/>
          <w:szCs w:val="20"/>
        </w:rPr>
      </w:pPr>
      <w:r w:rsidRPr="003304D7">
        <w:rPr>
          <w:rFonts w:ascii="Century Gothic" w:hAnsi="Century Gothic"/>
          <w:i/>
          <w:sz w:val="20"/>
          <w:szCs w:val="20"/>
        </w:rPr>
        <w:t xml:space="preserve">(*) </w:t>
      </w:r>
      <w:r>
        <w:rPr>
          <w:rFonts w:ascii="Century Gothic" w:hAnsi="Century Gothic"/>
          <w:i/>
          <w:sz w:val="20"/>
          <w:szCs w:val="20"/>
        </w:rPr>
        <w:t xml:space="preserve">Exportations 2012 - </w:t>
      </w:r>
      <w:r w:rsidRPr="003304D7">
        <w:rPr>
          <w:rFonts w:ascii="Century Gothic" w:hAnsi="Century Gothic"/>
          <w:i/>
          <w:sz w:val="20"/>
          <w:szCs w:val="20"/>
        </w:rPr>
        <w:t>Chiffres provisoire</w:t>
      </w:r>
      <w:r>
        <w:rPr>
          <w:rFonts w:ascii="Century Gothic" w:hAnsi="Century Gothic"/>
          <w:i/>
          <w:sz w:val="20"/>
          <w:szCs w:val="20"/>
        </w:rPr>
        <w:t>s</w:t>
      </w:r>
      <w:r w:rsidRPr="003304D7">
        <w:rPr>
          <w:rFonts w:ascii="Century Gothic" w:hAnsi="Century Gothic"/>
          <w:i/>
          <w:sz w:val="20"/>
          <w:szCs w:val="20"/>
        </w:rPr>
        <w:t xml:space="preserve"> pour l’exportation de la récolte 2012. Fin des ventes de la récolte 2012 le 31 aout 2013. </w:t>
      </w:r>
    </w:p>
    <w:p w:rsidR="004D3F2B" w:rsidRPr="003F3357" w:rsidRDefault="00363127" w:rsidP="004D3F2B">
      <w:pPr>
        <w:rPr>
          <w:sz w:val="22"/>
          <w:szCs w:val="22"/>
        </w:rPr>
      </w:pPr>
    </w:p>
    <w:p w:rsidR="007F7D74" w:rsidRPr="00C418AD" w:rsidRDefault="00363127" w:rsidP="00153628">
      <w:pPr>
        <w:pStyle w:val="Text"/>
        <w:rPr>
          <w:lang w:val="fr-FR"/>
        </w:rPr>
      </w:pPr>
    </w:p>
    <w:sectPr w:rsidR="007F7D74" w:rsidRPr="00C418AD" w:rsidSect="002A7913">
      <w:footerReference w:type="first" r:id="rId14"/>
      <w:pgSz w:w="12240" w:h="15840"/>
      <w:pgMar w:top="1980" w:right="1440" w:bottom="2160" w:left="1440" w:header="965" w:footer="96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127" w:rsidRDefault="00363127">
      <w:r>
        <w:separator/>
      </w:r>
    </w:p>
    <w:p w:rsidR="00363127" w:rsidRDefault="00363127"/>
  </w:endnote>
  <w:endnote w:type="continuationSeparator" w:id="0">
    <w:p w:rsidR="00363127" w:rsidRDefault="00363127">
      <w:r>
        <w:continuationSeparator/>
      </w:r>
    </w:p>
    <w:p w:rsidR="00363127" w:rsidRDefault="0036312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2B" w:rsidRPr="00491FBE" w:rsidRDefault="005133CE">
    <w:pPr>
      <w:pStyle w:val="Pieddepage"/>
    </w:pPr>
    <w:r w:rsidRPr="00C418AD">
      <w:rPr>
        <w:lang w:val="fr-FR"/>
      </w:rPr>
      <w:tab/>
    </w:r>
    <w:r>
      <w:rPr>
        <w:lang w:val="fr-FR"/>
      </w:rPr>
      <w:t>LOGICIEL VANIRA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127" w:rsidRDefault="00363127">
      <w:r>
        <w:separator/>
      </w:r>
    </w:p>
    <w:p w:rsidR="00363127" w:rsidRDefault="00363127"/>
  </w:footnote>
  <w:footnote w:type="continuationSeparator" w:id="0">
    <w:p w:rsidR="00363127" w:rsidRDefault="00363127">
      <w:r>
        <w:continuationSeparator/>
      </w:r>
    </w:p>
    <w:p w:rsidR="00363127" w:rsidRDefault="0036312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A6A2E"/>
    <w:multiLevelType w:val="hybridMultilevel"/>
    <w:tmpl w:val="743466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78658D6"/>
    <w:multiLevelType w:val="hybridMultilevel"/>
    <w:tmpl w:val="7250EB8C"/>
    <w:lvl w:ilvl="0" w:tplc="060438EC">
      <w:start w:val="3"/>
      <w:numFmt w:val="bullet"/>
      <w:lvlText w:val="-"/>
      <w:lvlJc w:val="left"/>
      <w:pPr>
        <w:tabs>
          <w:tab w:val="num" w:pos="1155"/>
        </w:tabs>
        <w:ind w:left="1155" w:hanging="435"/>
      </w:pPr>
      <w:rPr>
        <w:rFonts w:ascii="Times New Roman" w:eastAsia="Times New Roman" w:hAnsi="Times New Roman" w:cs="Times New Roman"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4EF143CF"/>
    <w:multiLevelType w:val="hybridMultilevel"/>
    <w:tmpl w:val="5680DB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8792AB7"/>
    <w:multiLevelType w:val="hybridMultilevel"/>
    <w:tmpl w:val="B4FA59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394C9B"/>
    <w:rsid w:val="001F1B3C"/>
    <w:rsid w:val="002322B3"/>
    <w:rsid w:val="00363127"/>
    <w:rsid w:val="00365930"/>
    <w:rsid w:val="00394C9B"/>
    <w:rsid w:val="005133CE"/>
    <w:rsid w:val="005156A4"/>
    <w:rsid w:val="005576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List Continue 2"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913"/>
    <w:rPr>
      <w:rFonts w:ascii="Century Gothic" w:hAnsi="Century Gothic" w:cs="Century Gothic"/>
      <w:spacing w:val="-5"/>
      <w:sz w:val="18"/>
      <w:szCs w:val="18"/>
      <w:lang w:val="en-US" w:eastAsia="en-US"/>
    </w:rPr>
  </w:style>
  <w:style w:type="paragraph" w:styleId="Titre1">
    <w:name w:val="heading 1"/>
    <w:basedOn w:val="Normal"/>
    <w:next w:val="Normal"/>
    <w:link w:val="Titre1Car"/>
    <w:uiPriority w:val="99"/>
    <w:qFormat/>
    <w:rsid w:val="002A7913"/>
    <w:pPr>
      <w:spacing w:before="1200"/>
      <w:outlineLvl w:val="0"/>
    </w:pPr>
    <w:rPr>
      <w:rFonts w:cs="Times New Roman"/>
      <w:caps/>
      <w:color w:val="2A5A78"/>
      <w:sz w:val="84"/>
      <w:szCs w:val="84"/>
    </w:rPr>
  </w:style>
  <w:style w:type="paragraph" w:styleId="Titre2">
    <w:name w:val="heading 2"/>
    <w:basedOn w:val="Titre1"/>
    <w:next w:val="Normal"/>
    <w:link w:val="Titre2Car"/>
    <w:uiPriority w:val="99"/>
    <w:qFormat/>
    <w:rsid w:val="002A7913"/>
    <w:pPr>
      <w:spacing w:before="0"/>
      <w:jc w:val="right"/>
      <w:outlineLvl w:val="1"/>
    </w:pPr>
    <w:rPr>
      <w:b/>
      <w:sz w:val="28"/>
      <w:szCs w:val="28"/>
    </w:rPr>
  </w:style>
  <w:style w:type="paragraph" w:styleId="Titre3">
    <w:name w:val="heading 3"/>
    <w:basedOn w:val="Normal"/>
    <w:next w:val="Normal"/>
    <w:link w:val="Titre3Car"/>
    <w:uiPriority w:val="99"/>
    <w:qFormat/>
    <w:rsid w:val="002A7913"/>
    <w:pPr>
      <w:spacing w:before="320" w:after="80"/>
      <w:outlineLvl w:val="2"/>
    </w:pPr>
    <w:rPr>
      <w:rFonts w:cs="Times New Roman"/>
      <w:color w:val="2A5A78"/>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320A"/>
    <w:rPr>
      <w:rFonts w:asciiTheme="majorHAnsi" w:eastAsiaTheme="majorEastAsia" w:hAnsiTheme="majorHAnsi" w:cstheme="majorBidi"/>
      <w:b/>
      <w:bCs/>
      <w:spacing w:val="-5"/>
      <w:kern w:val="32"/>
      <w:sz w:val="32"/>
      <w:szCs w:val="32"/>
      <w:lang w:val="en-US" w:eastAsia="en-US"/>
    </w:rPr>
  </w:style>
  <w:style w:type="character" w:customStyle="1" w:styleId="Titre2Car">
    <w:name w:val="Titre 2 Car"/>
    <w:basedOn w:val="Policepardfaut"/>
    <w:link w:val="Titre2"/>
    <w:uiPriority w:val="9"/>
    <w:semiHidden/>
    <w:rsid w:val="0023320A"/>
    <w:rPr>
      <w:rFonts w:asciiTheme="majorHAnsi" w:eastAsiaTheme="majorEastAsia" w:hAnsiTheme="majorHAnsi" w:cstheme="majorBidi"/>
      <w:b/>
      <w:bCs/>
      <w:i/>
      <w:iCs/>
      <w:spacing w:val="-5"/>
      <w:sz w:val="28"/>
      <w:szCs w:val="28"/>
      <w:lang w:val="en-US" w:eastAsia="en-US"/>
    </w:rPr>
  </w:style>
  <w:style w:type="character" w:customStyle="1" w:styleId="Titre3Car">
    <w:name w:val="Titre 3 Car"/>
    <w:basedOn w:val="Policepardfaut"/>
    <w:link w:val="Titre3"/>
    <w:uiPriority w:val="99"/>
    <w:semiHidden/>
    <w:rsid w:val="0023320A"/>
    <w:rPr>
      <w:rFonts w:asciiTheme="majorHAnsi" w:eastAsiaTheme="majorEastAsia" w:hAnsiTheme="majorHAnsi" w:cstheme="majorBidi"/>
      <w:b/>
      <w:bCs/>
      <w:spacing w:val="-5"/>
      <w:sz w:val="26"/>
      <w:szCs w:val="26"/>
      <w:lang w:val="en-US" w:eastAsia="en-US"/>
    </w:rPr>
  </w:style>
  <w:style w:type="paragraph" w:styleId="En-tte">
    <w:name w:val="header"/>
    <w:basedOn w:val="Normal"/>
    <w:link w:val="En-tteCar"/>
    <w:uiPriority w:val="99"/>
    <w:rsid w:val="002A7913"/>
    <w:pPr>
      <w:tabs>
        <w:tab w:val="right" w:pos="9360"/>
      </w:tabs>
    </w:pPr>
    <w:rPr>
      <w:b/>
      <w:caps/>
      <w:color w:val="2A5A78"/>
    </w:rPr>
  </w:style>
  <w:style w:type="character" w:customStyle="1" w:styleId="En-tteCar">
    <w:name w:val="En-tête Car"/>
    <w:basedOn w:val="Policepardfaut"/>
    <w:link w:val="En-tte"/>
    <w:uiPriority w:val="99"/>
    <w:semiHidden/>
    <w:rsid w:val="0023320A"/>
    <w:rPr>
      <w:rFonts w:ascii="Century Gothic" w:hAnsi="Century Gothic" w:cs="Century Gothic"/>
      <w:spacing w:val="-5"/>
      <w:sz w:val="18"/>
      <w:szCs w:val="18"/>
      <w:lang w:val="en-US" w:eastAsia="en-US"/>
    </w:rPr>
  </w:style>
  <w:style w:type="paragraph" w:styleId="Pieddepage">
    <w:name w:val="footer"/>
    <w:basedOn w:val="Normal"/>
    <w:link w:val="PieddepageCar"/>
    <w:uiPriority w:val="99"/>
    <w:rsid w:val="002A7913"/>
    <w:pPr>
      <w:tabs>
        <w:tab w:val="right" w:pos="9360"/>
      </w:tabs>
    </w:pPr>
    <w:rPr>
      <w:b/>
      <w:caps/>
      <w:color w:val="2A5A78"/>
    </w:rPr>
  </w:style>
  <w:style w:type="character" w:customStyle="1" w:styleId="PieddepageCar">
    <w:name w:val="Pied de page Car"/>
    <w:basedOn w:val="Policepardfaut"/>
    <w:link w:val="Pieddepage"/>
    <w:uiPriority w:val="99"/>
    <w:semiHidden/>
    <w:rsid w:val="0023320A"/>
    <w:rPr>
      <w:rFonts w:ascii="Century Gothic" w:hAnsi="Century Gothic" w:cs="Century Gothic"/>
      <w:spacing w:val="-5"/>
      <w:sz w:val="18"/>
      <w:szCs w:val="18"/>
      <w:lang w:val="en-US" w:eastAsia="en-US"/>
    </w:rPr>
  </w:style>
  <w:style w:type="paragraph" w:styleId="Textedebulles">
    <w:name w:val="Balloon Text"/>
    <w:basedOn w:val="Normal"/>
    <w:link w:val="TextedebullesCar"/>
    <w:uiPriority w:val="99"/>
    <w:semiHidden/>
    <w:rsid w:val="002A7913"/>
    <w:rPr>
      <w:sz w:val="16"/>
      <w:szCs w:val="16"/>
    </w:rPr>
  </w:style>
  <w:style w:type="character" w:customStyle="1" w:styleId="TextedebullesCar">
    <w:name w:val="Texte de bulles Car"/>
    <w:basedOn w:val="Policepardfaut"/>
    <w:link w:val="Textedebulles"/>
    <w:uiPriority w:val="99"/>
    <w:semiHidden/>
    <w:rsid w:val="0023320A"/>
    <w:rPr>
      <w:rFonts w:cs="Century Gothic"/>
      <w:spacing w:val="-5"/>
      <w:sz w:val="0"/>
      <w:szCs w:val="0"/>
      <w:lang w:val="en-US" w:eastAsia="en-US"/>
    </w:rPr>
  </w:style>
  <w:style w:type="paragraph" w:customStyle="1" w:styleId="ContactInformation">
    <w:name w:val="Contact Information"/>
    <w:basedOn w:val="Normal"/>
    <w:uiPriority w:val="99"/>
    <w:rsid w:val="002A7913"/>
    <w:pPr>
      <w:spacing w:line="180" w:lineRule="exact"/>
    </w:pPr>
    <w:rPr>
      <w:color w:val="2A5A78"/>
      <w:sz w:val="16"/>
      <w:szCs w:val="16"/>
    </w:rPr>
  </w:style>
  <w:style w:type="paragraph" w:customStyle="1" w:styleId="ContactName">
    <w:name w:val="Contact Name"/>
    <w:basedOn w:val="ContactInformation"/>
    <w:uiPriority w:val="99"/>
    <w:rsid w:val="002A7913"/>
    <w:rPr>
      <w:b/>
    </w:rPr>
  </w:style>
  <w:style w:type="paragraph" w:customStyle="1" w:styleId="Subhead">
    <w:name w:val="Subhead"/>
    <w:basedOn w:val="Normal"/>
    <w:uiPriority w:val="99"/>
    <w:rsid w:val="002A7913"/>
    <w:pPr>
      <w:spacing w:after="600"/>
    </w:pPr>
    <w:rPr>
      <w:i/>
      <w:color w:val="2A5A78"/>
      <w:sz w:val="22"/>
      <w:szCs w:val="22"/>
    </w:rPr>
  </w:style>
  <w:style w:type="character" w:customStyle="1" w:styleId="TextChar">
    <w:name w:val="Text Char"/>
    <w:basedOn w:val="Policepardfaut"/>
    <w:link w:val="Text"/>
    <w:uiPriority w:val="99"/>
    <w:locked/>
    <w:rsid w:val="002A7913"/>
    <w:rPr>
      <w:rFonts w:ascii="Century Gothic" w:hAnsi="Century Gothic" w:cs="Times New Roman"/>
      <w:sz w:val="18"/>
      <w:szCs w:val="18"/>
      <w:lang w:val="en-US" w:eastAsia="en-US"/>
    </w:rPr>
  </w:style>
  <w:style w:type="paragraph" w:customStyle="1" w:styleId="Text">
    <w:name w:val="Text"/>
    <w:basedOn w:val="Normal"/>
    <w:link w:val="TextChar"/>
    <w:uiPriority w:val="99"/>
    <w:rsid w:val="002A7913"/>
    <w:pPr>
      <w:spacing w:after="220" w:line="336" w:lineRule="auto"/>
    </w:pPr>
    <w:rPr>
      <w:spacing w:val="0"/>
    </w:rPr>
  </w:style>
  <w:style w:type="character" w:customStyle="1" w:styleId="BoldTextChar">
    <w:name w:val="Bold Text Char"/>
    <w:basedOn w:val="TextChar"/>
    <w:link w:val="BoldText"/>
    <w:uiPriority w:val="99"/>
    <w:locked/>
    <w:rsid w:val="002A7913"/>
    <w:rPr>
      <w:b/>
    </w:rPr>
  </w:style>
  <w:style w:type="paragraph" w:customStyle="1" w:styleId="BoldText">
    <w:name w:val="Bold Text"/>
    <w:basedOn w:val="Text"/>
    <w:link w:val="BoldTextChar"/>
    <w:uiPriority w:val="99"/>
    <w:rsid w:val="002A7913"/>
    <w:rPr>
      <w:b/>
    </w:rPr>
  </w:style>
  <w:style w:type="table" w:styleId="Grilledutableau">
    <w:name w:val="Table Grid"/>
    <w:basedOn w:val="TableauNormal"/>
    <w:uiPriority w:val="99"/>
    <w:rsid w:val="00491FBE"/>
    <w:rPr>
      <w:rFonts w:ascii="Century Gothic" w:hAnsi="Century Goth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continue2">
    <w:name w:val="List Continue 2"/>
    <w:basedOn w:val="Normal"/>
    <w:rsid w:val="007F7D74"/>
    <w:pPr>
      <w:spacing w:after="120"/>
      <w:ind w:left="566"/>
    </w:pPr>
    <w:rPr>
      <w:rFonts w:ascii="Times New Roman" w:hAnsi="Times New Roman" w:cs="Times New Roman"/>
      <w:spacing w:val="0"/>
      <w:sz w:val="24"/>
      <w:szCs w:val="24"/>
      <w:lang w:val="fr-FR" w:eastAsia="fr-FR"/>
    </w:rPr>
  </w:style>
  <w:style w:type="paragraph" w:styleId="Retraitcorpsdetexte">
    <w:name w:val="Body Text Indent"/>
    <w:basedOn w:val="Normal"/>
    <w:link w:val="RetraitcorpsdetexteCar"/>
    <w:rsid w:val="007F7D74"/>
    <w:pPr>
      <w:spacing w:after="120"/>
      <w:ind w:left="283"/>
    </w:pPr>
    <w:rPr>
      <w:rFonts w:ascii="Times New Roman" w:hAnsi="Times New Roman" w:cs="Times New Roman"/>
      <w:spacing w:val="0"/>
      <w:sz w:val="24"/>
      <w:szCs w:val="24"/>
      <w:lang w:val="fr-FR" w:eastAsia="fr-FR"/>
    </w:rPr>
  </w:style>
  <w:style w:type="character" w:customStyle="1" w:styleId="RetraitcorpsdetexteCar">
    <w:name w:val="Retrait corps de texte Car"/>
    <w:basedOn w:val="Policepardfaut"/>
    <w:link w:val="Retraitcorpsdetexte"/>
    <w:rsid w:val="007F7D74"/>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858</Words>
  <Characters>4721</Characters>
  <Application>Microsoft Office Word</Application>
  <DocSecurity>0</DocSecurity>
  <Lines>39</Lines>
  <Paragraphs>11</Paragraphs>
  <ScaleCrop>false</ScaleCrop>
  <Company>Microsoft Corporation</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 </dc:title>
  <dc:subject/>
  <dc:creator>tatiana</dc:creator>
  <cp:keywords/>
  <dc:description/>
  <cp:lastModifiedBy>tatiana</cp:lastModifiedBy>
  <cp:revision>3</cp:revision>
  <cp:lastPrinted>2012-09-20T19:38:00Z</cp:lastPrinted>
  <dcterms:created xsi:type="dcterms:W3CDTF">2013-04-17T21:34:00Z</dcterms:created>
  <dcterms:modified xsi:type="dcterms:W3CDTF">2013-04-17T21:34:00Z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TC010197751036</vt:lpwstr>
  </property>
</Properties>
</file>