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1" w:type="dxa"/>
        <w:tblInd w:w="-318" w:type="dxa"/>
        <w:tblLook w:val="04A0"/>
      </w:tblPr>
      <w:tblGrid>
        <w:gridCol w:w="2254"/>
        <w:gridCol w:w="8237"/>
      </w:tblGrid>
      <w:tr w:rsidR="00AF2321" w:rsidTr="00B66A8C">
        <w:trPr>
          <w:trHeight w:val="1191"/>
        </w:trPr>
        <w:tc>
          <w:tcPr>
            <w:tcW w:w="2254" w:type="dxa"/>
          </w:tcPr>
          <w:p w:rsidR="00AF2321" w:rsidRDefault="007B73BE" w:rsidP="00B66A8C">
            <w:r>
              <w:rPr>
                <w:noProof/>
              </w:rPr>
              <w:drawing>
                <wp:anchor distT="0" distB="0" distL="114300" distR="114300" simplePos="0" relativeHeight="251658240" behindDoc="1" locked="0" layoutInCell="1" allowOverlap="1">
                  <wp:simplePos x="0" y="0"/>
                  <wp:positionH relativeFrom="column">
                    <wp:posOffset>128308</wp:posOffset>
                  </wp:positionH>
                  <wp:positionV relativeFrom="paragraph">
                    <wp:posOffset>-222661</wp:posOffset>
                  </wp:positionV>
                  <wp:extent cx="1202711" cy="1198709"/>
                  <wp:effectExtent l="19050" t="0" r="0" b="0"/>
                  <wp:wrapNone/>
                  <wp:docPr id="1" name="Image 0" descr="LOGO TAHOERAA 2012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AHOERAA 2012 .jpg"/>
                          <pic:cNvPicPr/>
                        </pic:nvPicPr>
                        <pic:blipFill>
                          <a:blip r:embed="rId7" cstate="print"/>
                          <a:stretch>
                            <a:fillRect/>
                          </a:stretch>
                        </pic:blipFill>
                        <pic:spPr>
                          <a:xfrm>
                            <a:off x="0" y="0"/>
                            <a:ext cx="1202711" cy="1198709"/>
                          </a:xfrm>
                          <a:prstGeom prst="rect">
                            <a:avLst/>
                          </a:prstGeom>
                        </pic:spPr>
                      </pic:pic>
                    </a:graphicData>
                  </a:graphic>
                </wp:anchor>
              </w:drawing>
            </w:r>
          </w:p>
        </w:tc>
        <w:tc>
          <w:tcPr>
            <w:tcW w:w="8237" w:type="dxa"/>
            <w:tcBorders>
              <w:top w:val="thinThickSmallGap" w:sz="36" w:space="0" w:color="FF6600"/>
              <w:bottom w:val="thickThinSmallGap" w:sz="36" w:space="0" w:color="FF6600"/>
            </w:tcBorders>
            <w:vAlign w:val="center"/>
          </w:tcPr>
          <w:p w:rsidR="00AF2321" w:rsidRPr="0049149A" w:rsidRDefault="00AF2321" w:rsidP="00B66A8C">
            <w:pPr>
              <w:jc w:val="center"/>
              <w:rPr>
                <w:rFonts w:ascii="Calisto MT" w:hAnsi="Calisto MT"/>
                <w:b/>
                <w:color w:val="FF6600"/>
                <w:sz w:val="52"/>
                <w:szCs w:val="60"/>
              </w:rPr>
            </w:pPr>
            <w:r w:rsidRPr="0049149A">
              <w:rPr>
                <w:rFonts w:ascii="Calisto MT" w:hAnsi="Calisto MT"/>
                <w:b/>
                <w:color w:val="FF6600"/>
                <w:sz w:val="52"/>
                <w:szCs w:val="60"/>
              </w:rPr>
              <w:t>TAHOERAA HUIRAATIRA</w:t>
            </w:r>
          </w:p>
        </w:tc>
      </w:tr>
    </w:tbl>
    <w:p w:rsidR="00AF2321" w:rsidRDefault="00AF2321" w:rsidP="00AF2321">
      <w:pPr>
        <w:rPr>
          <w:sz w:val="16"/>
          <w:szCs w:val="16"/>
        </w:rPr>
      </w:pPr>
    </w:p>
    <w:p w:rsidR="000D6A71" w:rsidRPr="00755B39" w:rsidRDefault="00755B39" w:rsidP="00755B39">
      <w:pPr>
        <w:jc w:val="right"/>
        <w:rPr>
          <w:i/>
        </w:rPr>
      </w:pPr>
      <w:r>
        <w:tab/>
      </w:r>
      <w:r>
        <w:tab/>
      </w:r>
      <w:r>
        <w:tab/>
      </w:r>
      <w:r>
        <w:tab/>
      </w:r>
      <w:r w:rsidRPr="00755B39">
        <w:rPr>
          <w:i/>
        </w:rPr>
        <w:t>Papeete le, jeudi 22 novembre 2012</w:t>
      </w:r>
    </w:p>
    <w:p w:rsidR="00A97CDE" w:rsidRDefault="00A97CDE" w:rsidP="00AF2321"/>
    <w:p w:rsidR="00A97CDE" w:rsidRDefault="00A97CDE" w:rsidP="00AF2321">
      <w:pPr>
        <w:rPr>
          <w:b/>
          <w:i/>
        </w:rPr>
      </w:pPr>
      <w:r w:rsidRPr="00A97CDE">
        <w:rPr>
          <w:b/>
          <w:i/>
        </w:rPr>
        <w:t>Le groupe à l’Assemblée de la Polynésie française</w:t>
      </w:r>
    </w:p>
    <w:p w:rsidR="00A97CDE" w:rsidRDefault="00A97CDE" w:rsidP="00AF2321">
      <w:pPr>
        <w:rPr>
          <w:b/>
          <w:i/>
        </w:rPr>
      </w:pPr>
    </w:p>
    <w:p w:rsidR="00755B39" w:rsidRDefault="00755B39" w:rsidP="00755B39">
      <w:pPr>
        <w:rPr>
          <w:b/>
          <w:sz w:val="28"/>
          <w:szCs w:val="28"/>
        </w:rPr>
      </w:pPr>
    </w:p>
    <w:p w:rsidR="00A97CDE" w:rsidRPr="00755B39" w:rsidRDefault="00755B39" w:rsidP="00755B39">
      <w:pPr>
        <w:jc w:val="center"/>
        <w:rPr>
          <w:b/>
          <w:sz w:val="28"/>
          <w:szCs w:val="28"/>
        </w:rPr>
      </w:pPr>
      <w:r w:rsidRPr="00755B39">
        <w:rPr>
          <w:b/>
          <w:sz w:val="28"/>
          <w:szCs w:val="28"/>
        </w:rPr>
        <w:t xml:space="preserve">Le </w:t>
      </w:r>
      <w:proofErr w:type="spellStart"/>
      <w:r w:rsidRPr="00755B39">
        <w:rPr>
          <w:b/>
          <w:sz w:val="28"/>
          <w:szCs w:val="28"/>
        </w:rPr>
        <w:t>Tavini</w:t>
      </w:r>
      <w:proofErr w:type="spellEnd"/>
      <w:r w:rsidRPr="00755B39">
        <w:rPr>
          <w:b/>
          <w:sz w:val="28"/>
          <w:szCs w:val="28"/>
        </w:rPr>
        <w:t xml:space="preserve"> fait main basse sur TNTV</w:t>
      </w:r>
    </w:p>
    <w:p w:rsidR="00A97CDE" w:rsidRDefault="00A97CDE" w:rsidP="00AF2321">
      <w:pPr>
        <w:rPr>
          <w:b/>
          <w:i/>
        </w:rPr>
      </w:pPr>
    </w:p>
    <w:p w:rsidR="00A97CDE" w:rsidRPr="00A97CDE" w:rsidRDefault="00A97CDE" w:rsidP="00A97CDE">
      <w:pPr>
        <w:jc w:val="both"/>
      </w:pPr>
      <w:r w:rsidRPr="00A97CDE">
        <w:t xml:space="preserve">Le groupe Tahoeraa Huiraatira dénonce avec vigueur la décision d’exclure de la composition du Conseil d’administration tous les élus issus des groupes autonomistes </w:t>
      </w:r>
      <w:r w:rsidR="00755B39">
        <w:t xml:space="preserve">de l’Assemblée </w:t>
      </w:r>
      <w:r w:rsidRPr="00A97CDE">
        <w:t xml:space="preserve">pour les remplacer par des membres du </w:t>
      </w:r>
      <w:proofErr w:type="spellStart"/>
      <w:r w:rsidRPr="00A97CDE">
        <w:t>Tavini</w:t>
      </w:r>
      <w:proofErr w:type="spellEnd"/>
      <w:r w:rsidRPr="00A97CDE">
        <w:t xml:space="preserve"> Huiraatira.</w:t>
      </w:r>
    </w:p>
    <w:p w:rsidR="00A97CDE" w:rsidRDefault="00A97CDE" w:rsidP="00A97CDE">
      <w:pPr>
        <w:jc w:val="both"/>
        <w:rPr>
          <w:b/>
          <w:i/>
        </w:rPr>
      </w:pPr>
    </w:p>
    <w:p w:rsidR="00A97CDE" w:rsidRDefault="00A97CDE" w:rsidP="00755B39">
      <w:pPr>
        <w:jc w:val="both"/>
      </w:pPr>
      <w:r w:rsidRPr="00A97CDE">
        <w:t>Le 15 novembre dernier, la commission de contrôle budgétaire de l’Assemblée a donné un avis favorable au projet du gouvernement d’évincer MM. René Temeharo et Tearii Alpha ainsi que Mme Maina Sage</w:t>
      </w:r>
      <w:r w:rsidR="00755B39">
        <w:t>,</w:t>
      </w:r>
      <w:r w:rsidRPr="00A97CDE">
        <w:t xml:space="preserve"> au profit de la nomination de la représentante UPLD Maryse Ollivier et de trois pseudo-membres de la </w:t>
      </w:r>
      <w:r w:rsidR="006B6124">
        <w:t>« </w:t>
      </w:r>
      <w:r w:rsidRPr="00A97CDE">
        <w:t>société civile</w:t>
      </w:r>
      <w:r w:rsidR="006B6124">
        <w:t> »</w:t>
      </w:r>
      <w:r w:rsidRPr="00A97CDE">
        <w:t xml:space="preserve"> qui sont en fait des militants actifs du </w:t>
      </w:r>
      <w:proofErr w:type="spellStart"/>
      <w:r w:rsidRPr="00A97CDE">
        <w:t>Tavini</w:t>
      </w:r>
      <w:proofErr w:type="spellEnd"/>
      <w:r w:rsidRPr="00A97CDE">
        <w:t xml:space="preserve">, MM. </w:t>
      </w:r>
      <w:proofErr w:type="spellStart"/>
      <w:r w:rsidRPr="00A97CDE">
        <w:t>Keitapu</w:t>
      </w:r>
      <w:proofErr w:type="spellEnd"/>
      <w:r w:rsidRPr="00A97CDE">
        <w:t xml:space="preserve"> </w:t>
      </w:r>
      <w:proofErr w:type="spellStart"/>
      <w:r w:rsidRPr="00A97CDE">
        <w:t>Maamaatuaiahutapu</w:t>
      </w:r>
      <w:proofErr w:type="spellEnd"/>
      <w:r w:rsidRPr="00A97CDE">
        <w:t>,</w:t>
      </w:r>
      <w:r w:rsidR="00755B39">
        <w:t xml:space="preserve"> </w:t>
      </w:r>
      <w:r w:rsidRPr="00A97CDE">
        <w:t xml:space="preserve">Médéric </w:t>
      </w:r>
      <w:proofErr w:type="spellStart"/>
      <w:r w:rsidRPr="00A97CDE">
        <w:t>Tehaamatai</w:t>
      </w:r>
      <w:proofErr w:type="spellEnd"/>
      <w:r w:rsidRPr="00A97CDE">
        <w:t xml:space="preserve"> </w:t>
      </w:r>
      <w:r w:rsidR="006B6124">
        <w:t xml:space="preserve">(président de la fédération de </w:t>
      </w:r>
      <w:proofErr w:type="spellStart"/>
      <w:r w:rsidR="006B6124">
        <w:t>Papara</w:t>
      </w:r>
      <w:proofErr w:type="spellEnd"/>
      <w:r w:rsidR="006B6124">
        <w:t xml:space="preserve">) </w:t>
      </w:r>
      <w:r w:rsidRPr="00A97CDE">
        <w:t xml:space="preserve">et </w:t>
      </w:r>
      <w:proofErr w:type="spellStart"/>
      <w:r w:rsidRPr="00A97CDE">
        <w:t>Heinui</w:t>
      </w:r>
      <w:proofErr w:type="spellEnd"/>
      <w:r w:rsidRPr="00A97CDE">
        <w:t xml:space="preserve"> Le </w:t>
      </w:r>
      <w:proofErr w:type="spellStart"/>
      <w:r w:rsidRPr="00A97CDE">
        <w:t>Caill</w:t>
      </w:r>
      <w:proofErr w:type="spellEnd"/>
      <w:r w:rsidR="006B6124">
        <w:t xml:space="preserve"> (chargé de la communication du </w:t>
      </w:r>
      <w:proofErr w:type="spellStart"/>
      <w:r w:rsidR="006B6124">
        <w:t>Tavini</w:t>
      </w:r>
      <w:proofErr w:type="spellEnd"/>
      <w:r w:rsidR="006B6124">
        <w:t>)</w:t>
      </w:r>
      <w:r w:rsidRPr="00A97CDE">
        <w:t>.</w:t>
      </w:r>
    </w:p>
    <w:p w:rsidR="00A97CDE" w:rsidRDefault="00A97CDE" w:rsidP="00A97CDE">
      <w:pPr>
        <w:jc w:val="both"/>
      </w:pPr>
    </w:p>
    <w:p w:rsidR="00A97CDE" w:rsidRPr="006B6124" w:rsidRDefault="00A97CDE" w:rsidP="00A97CDE">
      <w:pPr>
        <w:jc w:val="both"/>
        <w:rPr>
          <w:i/>
        </w:rPr>
      </w:pPr>
      <w:r>
        <w:t>L’avis favorable de la commission de contrôle budgétaire (majoritairement acquise à l’UPLD) est d’autant plus étonnant qu’</w:t>
      </w:r>
      <w:r w:rsidR="00755B39">
        <w:t xml:space="preserve">il </w:t>
      </w:r>
      <w:r>
        <w:t xml:space="preserve">rappelle que </w:t>
      </w:r>
      <w:r w:rsidRPr="006B6124">
        <w:rPr>
          <w:i/>
        </w:rPr>
        <w:t>« toute modification au sein des SEM devait refléter la composition politique de l’Assemblée »</w:t>
      </w:r>
      <w:r w:rsidR="006B6124">
        <w:rPr>
          <w:i/>
        </w:rPr>
        <w:t>.</w:t>
      </w:r>
    </w:p>
    <w:p w:rsidR="00A97CDE" w:rsidRDefault="00A97CDE" w:rsidP="00A97CDE">
      <w:pPr>
        <w:jc w:val="both"/>
      </w:pPr>
    </w:p>
    <w:p w:rsidR="00A97CDE" w:rsidRDefault="00A97CDE" w:rsidP="00A97CDE">
      <w:pPr>
        <w:jc w:val="both"/>
      </w:pPr>
      <w:r>
        <w:t>Il n’est un secret pour personne que cette reprise en main politique du conseil d’administration de la chaîne</w:t>
      </w:r>
      <w:r w:rsidR="006B6124">
        <w:t xml:space="preserve">, au bénéfice exclusif du </w:t>
      </w:r>
      <w:proofErr w:type="spellStart"/>
      <w:r w:rsidR="006B6124">
        <w:t>Tavini</w:t>
      </w:r>
      <w:proofErr w:type="spellEnd"/>
      <w:r w:rsidR="006B6124">
        <w:t>,</w:t>
      </w:r>
      <w:r>
        <w:t xml:space="preserve"> </w:t>
      </w:r>
      <w:r w:rsidRPr="009438DE">
        <w:rPr>
          <w:u w:val="single"/>
        </w:rPr>
        <w:t>vise en premier lieu à mettre fin aux fonctions du directeur général pour mieux chercher à contrôler la rédaction</w:t>
      </w:r>
      <w:r w:rsidR="006B6124" w:rsidRPr="009438DE">
        <w:rPr>
          <w:u w:val="single"/>
        </w:rPr>
        <w:t xml:space="preserve"> </w:t>
      </w:r>
      <w:r w:rsidR="006B6124">
        <w:t>qui fait pourtant un travail équilibré</w:t>
      </w:r>
      <w:r w:rsidR="00755B39">
        <w:t>, dans le respect des règles édictées par le Conseil supérieur de l’audiovisuel</w:t>
      </w:r>
      <w:r>
        <w:t>.</w:t>
      </w:r>
    </w:p>
    <w:p w:rsidR="006B6124" w:rsidRDefault="006B6124" w:rsidP="00A97CDE">
      <w:pPr>
        <w:jc w:val="both"/>
      </w:pPr>
    </w:p>
    <w:p w:rsidR="006B6124" w:rsidRDefault="006B6124" w:rsidP="00A97CDE">
      <w:pPr>
        <w:jc w:val="both"/>
      </w:pPr>
      <w:r>
        <w:t xml:space="preserve">Ceux qui avaient prôné la </w:t>
      </w:r>
      <w:r w:rsidRPr="00755B39">
        <w:rPr>
          <w:i/>
        </w:rPr>
        <w:t>« parole libérée »</w:t>
      </w:r>
      <w:r>
        <w:t xml:space="preserve"> n’en sont pas à leurs premiers reniements politiques</w:t>
      </w:r>
      <w:r w:rsidR="00755B39">
        <w:t xml:space="preserve">. Après avoir tenté de liquider TNTV, tout comme ils l’ont fait pour </w:t>
      </w:r>
      <w:proofErr w:type="spellStart"/>
      <w:r w:rsidR="00755B39" w:rsidRPr="00755B39">
        <w:rPr>
          <w:i/>
        </w:rPr>
        <w:t>Tahitipresse</w:t>
      </w:r>
      <w:proofErr w:type="spellEnd"/>
      <w:r w:rsidR="00755B39">
        <w:t>, au prétexte du plan de redressement,</w:t>
      </w:r>
      <w:r>
        <w:t xml:space="preserve"> on constate qu’ils ne supportent plus que </w:t>
      </w:r>
      <w:r w:rsidR="00755B39">
        <w:t>les journalistes puissent</w:t>
      </w:r>
      <w:r>
        <w:t xml:space="preserve"> avoir un œil critique à l’égard du gouvernement ou de sa majorité</w:t>
      </w:r>
      <w:r w:rsidR="00755B39">
        <w:t xml:space="preserve"> (au même titre qu’à l’égard de l’opposition), </w:t>
      </w:r>
      <w:r>
        <w:t>ce qui a motivé cette coloration politique</w:t>
      </w:r>
      <w:r w:rsidR="00755B39">
        <w:t xml:space="preserve"> uniforme</w:t>
      </w:r>
      <w:r>
        <w:t xml:space="preserve"> du conseil d’administration.</w:t>
      </w:r>
    </w:p>
    <w:p w:rsidR="006B6124" w:rsidRDefault="006B6124" w:rsidP="00A97CDE">
      <w:pPr>
        <w:jc w:val="both"/>
      </w:pPr>
    </w:p>
    <w:p w:rsidR="006B6124" w:rsidRDefault="006B6124" w:rsidP="00A97CDE">
      <w:pPr>
        <w:jc w:val="both"/>
      </w:pPr>
      <w:r>
        <w:t>La panique dans la perspective de perdre les futures élections est mauvaise conseillère</w:t>
      </w:r>
      <w:r w:rsidR="00755B39">
        <w:t>,</w:t>
      </w:r>
      <w:r>
        <w:t xml:space="preserve"> surtout quand elle est attentatoire aux droits fondamentaux de la liberté d’information des journalistes</w:t>
      </w:r>
      <w:r w:rsidR="00755B39">
        <w:t xml:space="preserve"> et de l’utilisation des fonds publics</w:t>
      </w:r>
      <w:r>
        <w:t>.</w:t>
      </w:r>
    </w:p>
    <w:p w:rsidR="006B6124" w:rsidRDefault="006B6124" w:rsidP="00A97CDE">
      <w:pPr>
        <w:jc w:val="both"/>
      </w:pPr>
    </w:p>
    <w:p w:rsidR="006B6124" w:rsidRDefault="006B6124" w:rsidP="00A97CDE">
      <w:pPr>
        <w:jc w:val="both"/>
      </w:pPr>
      <w:r>
        <w:t xml:space="preserve">Le Tahoeraa Huiraatira rappelle que, sous le gouvernement Tong Sang et lorsque M. Edouard Fritch était en charge de la communication, Mme </w:t>
      </w:r>
      <w:proofErr w:type="spellStart"/>
      <w:r>
        <w:t>Unutea</w:t>
      </w:r>
      <w:proofErr w:type="spellEnd"/>
      <w:r>
        <w:t xml:space="preserve"> </w:t>
      </w:r>
      <w:proofErr w:type="spellStart"/>
      <w:r>
        <w:t>Hirshon</w:t>
      </w:r>
      <w:proofErr w:type="spellEnd"/>
      <w:r>
        <w:t>, pourtant membre de l’opposition, avait été maintenue dans ses fonctions de présidente du conseil d’administration, mais qu’elle avait finalement démissionné de ses fonctions. Elle avait alors été remplacée par un vrai représentant de la société civile, M. Joël Allain</w:t>
      </w:r>
      <w:r w:rsidR="00755B39">
        <w:t>,</w:t>
      </w:r>
      <w:r>
        <w:t xml:space="preserve"> qui a mené à bien la restructuration de la chaîne</w:t>
      </w:r>
      <w:r w:rsidR="00755B39">
        <w:t xml:space="preserve"> afin que cette SEM soit moins pesante pour les finances publiques.</w:t>
      </w:r>
    </w:p>
    <w:p w:rsidR="00755B39" w:rsidRDefault="00755B39" w:rsidP="00A97CDE">
      <w:pPr>
        <w:jc w:val="both"/>
      </w:pPr>
    </w:p>
    <w:p w:rsidR="00A97CDE" w:rsidRPr="00A97CDE" w:rsidRDefault="009438DE" w:rsidP="00A97CDE">
      <w:pPr>
        <w:jc w:val="both"/>
      </w:pPr>
      <w:r>
        <w:t>L</w:t>
      </w:r>
      <w:r w:rsidR="00755B39">
        <w:t xml:space="preserve">e </w:t>
      </w:r>
      <w:proofErr w:type="spellStart"/>
      <w:r w:rsidR="00755B39">
        <w:t>Tavini</w:t>
      </w:r>
      <w:proofErr w:type="spellEnd"/>
      <w:r w:rsidR="00755B39">
        <w:t xml:space="preserve"> n’a comme seule ambition que de tenter de faire main basse politique sur cette chaîne en espérant orienter la ligne rédactionnelle à son seul profit. </w:t>
      </w:r>
    </w:p>
    <w:sectPr w:rsidR="00A97CDE" w:rsidRPr="00A97CDE" w:rsidSect="00CD5AA7">
      <w:footerReference w:type="default" r:id="rId8"/>
      <w:pgSz w:w="11906" w:h="16838"/>
      <w:pgMar w:top="993" w:right="566" w:bottom="1417" w:left="993" w:header="708" w:footer="2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859" w:rsidRDefault="007C4859" w:rsidP="00AF2321">
      <w:r>
        <w:separator/>
      </w:r>
    </w:p>
  </w:endnote>
  <w:endnote w:type="continuationSeparator" w:id="0">
    <w:p w:rsidR="007C4859" w:rsidRDefault="007C4859" w:rsidP="00AF2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10456" w:type="dxa"/>
      <w:tblBorders>
        <w:top w:val="none" w:sz="0" w:space="0" w:color="auto"/>
        <w:left w:val="none" w:sz="0" w:space="0" w:color="auto"/>
        <w:bottom w:val="single" w:sz="18" w:space="0" w:color="0000FF"/>
        <w:right w:val="none" w:sz="0" w:space="0" w:color="auto"/>
        <w:insideH w:val="none" w:sz="0" w:space="0" w:color="auto"/>
        <w:insideV w:val="none" w:sz="0" w:space="0" w:color="auto"/>
      </w:tblBorders>
      <w:tblLook w:val="04A0"/>
    </w:tblPr>
    <w:tblGrid>
      <w:gridCol w:w="10456"/>
    </w:tblGrid>
    <w:tr w:rsidR="00492C2E" w:rsidRPr="00184051" w:rsidTr="0012481C">
      <w:trPr>
        <w:trHeight w:val="57"/>
      </w:trPr>
      <w:tc>
        <w:tcPr>
          <w:tcW w:w="10456" w:type="dxa"/>
        </w:tcPr>
        <w:p w:rsidR="00492C2E" w:rsidRPr="00184051" w:rsidRDefault="007C4859" w:rsidP="0012481C">
          <w:pPr>
            <w:jc w:val="center"/>
            <w:rPr>
              <w:i/>
              <w:noProof/>
              <w:color w:val="FF6600"/>
              <w:sz w:val="2"/>
              <w:szCs w:val="2"/>
              <w:u w:val="single"/>
            </w:rPr>
          </w:pPr>
        </w:p>
      </w:tc>
    </w:tr>
  </w:tbl>
  <w:p w:rsidR="00492C2E" w:rsidRDefault="006E39AB" w:rsidP="000F10BC">
    <w:pPr>
      <w:jc w:val="center"/>
      <w:rPr>
        <w:i/>
        <w:noProof/>
        <w:color w:val="FF6600"/>
        <w:sz w:val="22"/>
      </w:rPr>
    </w:pPr>
    <w:r w:rsidRPr="00524372">
      <w:rPr>
        <w:i/>
        <w:noProof/>
        <w:color w:val="FF6600"/>
        <w:sz w:val="22"/>
      </w:rPr>
      <w:t xml:space="preserve">Boite postale 471 – Papeete –Tahiti – </w:t>
    </w:r>
    <w:r>
      <w:rPr>
        <w:i/>
        <w:noProof/>
        <w:color w:val="FF6600"/>
        <w:sz w:val="22"/>
      </w:rPr>
      <w:t>Téléphone</w:t>
    </w:r>
    <w:r w:rsidR="00CD5AA7">
      <w:rPr>
        <w:i/>
        <w:noProof/>
        <w:color w:val="FF6600"/>
        <w:sz w:val="22"/>
      </w:rPr>
      <w:t xml:space="preserve"> Tahoeraa</w:t>
    </w:r>
    <w:r>
      <w:rPr>
        <w:i/>
        <w:noProof/>
        <w:color w:val="FF6600"/>
        <w:sz w:val="22"/>
      </w:rPr>
      <w:t xml:space="preserve"> Huiraatira Siège :(689) 42 98 98 / Fax : (689) 45 00 04</w:t>
    </w:r>
  </w:p>
  <w:p w:rsidR="00492C2E" w:rsidRDefault="006E39AB" w:rsidP="000F10BC">
    <w:pPr>
      <w:jc w:val="center"/>
      <w:rPr>
        <w:i/>
        <w:noProof/>
        <w:color w:val="FF6600"/>
        <w:sz w:val="22"/>
      </w:rPr>
    </w:pPr>
    <w:r w:rsidRPr="00524372">
      <w:rPr>
        <w:i/>
        <w:noProof/>
        <w:color w:val="FF6600"/>
        <w:sz w:val="22"/>
      </w:rPr>
      <w:t>Téléphone</w:t>
    </w:r>
    <w:r>
      <w:rPr>
        <w:i/>
        <w:noProof/>
        <w:color w:val="FF6600"/>
        <w:sz w:val="22"/>
      </w:rPr>
      <w:t xml:space="preserve"> Tahoeraa Huiraatira APF</w:t>
    </w:r>
    <w:r w:rsidRPr="00524372">
      <w:rPr>
        <w:i/>
        <w:noProof/>
        <w:color w:val="FF6600"/>
        <w:sz w:val="22"/>
      </w:rPr>
      <w:t>: (689) 41 60 83 / Fax: (689) 41 60 11</w:t>
    </w:r>
  </w:p>
  <w:p w:rsidR="00492C2E" w:rsidRPr="00524372" w:rsidRDefault="006E39AB" w:rsidP="000F10BC">
    <w:pPr>
      <w:jc w:val="center"/>
      <w:rPr>
        <w:color w:val="FF6600"/>
        <w:sz w:val="22"/>
      </w:rPr>
    </w:pPr>
    <w:r>
      <w:rPr>
        <w:i/>
        <w:noProof/>
        <w:color w:val="FF6600"/>
        <w:sz w:val="22"/>
      </w:rPr>
      <w:t xml:space="preserve">Mail </w:t>
    </w:r>
    <w:r w:rsidRPr="00524372">
      <w:rPr>
        <w:i/>
        <w:noProof/>
        <w:color w:val="FF6600"/>
        <w:sz w:val="22"/>
      </w:rPr>
      <w:t xml:space="preserve">: </w:t>
    </w:r>
    <w:r>
      <w:rPr>
        <w:i/>
        <w:noProof/>
        <w:color w:val="FF6600"/>
        <w:sz w:val="22"/>
      </w:rPr>
      <w:t>tahitinui@tahoereaa.pf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859" w:rsidRDefault="007C4859" w:rsidP="00AF2321">
      <w:r>
        <w:separator/>
      </w:r>
    </w:p>
  </w:footnote>
  <w:footnote w:type="continuationSeparator" w:id="0">
    <w:p w:rsidR="007C4859" w:rsidRDefault="007C4859" w:rsidP="00AF23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62E"/>
    <w:multiLevelType w:val="hybridMultilevel"/>
    <w:tmpl w:val="2EFC02FE"/>
    <w:lvl w:ilvl="0" w:tplc="38347AAA">
      <w:start w:val="1"/>
      <w:numFmt w:val="decimal"/>
      <w:lvlText w:val="%1)"/>
      <w:lvlJc w:val="left"/>
      <w:pPr>
        <w:ind w:left="785" w:hanging="360"/>
      </w:pPr>
      <w:rPr>
        <w:rFonts w:ascii="Times New Roman" w:eastAsia="Times New Roman" w:hAnsi="Times New Roman" w:cs="Times New Roman"/>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
    <w:nsid w:val="389271FC"/>
    <w:multiLevelType w:val="hybridMultilevel"/>
    <w:tmpl w:val="E64C9FBC"/>
    <w:lvl w:ilvl="0" w:tplc="4B905C0E">
      <w:numFmt w:val="bullet"/>
      <w:lvlText w:val="-"/>
      <w:lvlJc w:val="left"/>
      <w:pPr>
        <w:ind w:left="1142" w:hanging="360"/>
      </w:pPr>
      <w:rPr>
        <w:rFonts w:ascii="Times New Roman" w:eastAsia="Times New Roman" w:hAnsi="Times New Roman" w:cs="Times New Roman" w:hint="default"/>
      </w:rPr>
    </w:lvl>
    <w:lvl w:ilvl="1" w:tplc="040C0003">
      <w:start w:val="1"/>
      <w:numFmt w:val="bullet"/>
      <w:lvlText w:val="o"/>
      <w:lvlJc w:val="left"/>
      <w:pPr>
        <w:ind w:left="1862" w:hanging="360"/>
      </w:pPr>
      <w:rPr>
        <w:rFonts w:ascii="Courier New" w:hAnsi="Courier New" w:cs="Courier New" w:hint="default"/>
      </w:rPr>
    </w:lvl>
    <w:lvl w:ilvl="2" w:tplc="040C0005" w:tentative="1">
      <w:start w:val="1"/>
      <w:numFmt w:val="bullet"/>
      <w:lvlText w:val=""/>
      <w:lvlJc w:val="left"/>
      <w:pPr>
        <w:ind w:left="2582" w:hanging="360"/>
      </w:pPr>
      <w:rPr>
        <w:rFonts w:ascii="Wingdings" w:hAnsi="Wingdings" w:hint="default"/>
      </w:rPr>
    </w:lvl>
    <w:lvl w:ilvl="3" w:tplc="040C0001" w:tentative="1">
      <w:start w:val="1"/>
      <w:numFmt w:val="bullet"/>
      <w:lvlText w:val=""/>
      <w:lvlJc w:val="left"/>
      <w:pPr>
        <w:ind w:left="3302" w:hanging="360"/>
      </w:pPr>
      <w:rPr>
        <w:rFonts w:ascii="Symbol" w:hAnsi="Symbol" w:hint="default"/>
      </w:rPr>
    </w:lvl>
    <w:lvl w:ilvl="4" w:tplc="040C0003" w:tentative="1">
      <w:start w:val="1"/>
      <w:numFmt w:val="bullet"/>
      <w:lvlText w:val="o"/>
      <w:lvlJc w:val="left"/>
      <w:pPr>
        <w:ind w:left="4022" w:hanging="360"/>
      </w:pPr>
      <w:rPr>
        <w:rFonts w:ascii="Courier New" w:hAnsi="Courier New" w:cs="Courier New" w:hint="default"/>
      </w:rPr>
    </w:lvl>
    <w:lvl w:ilvl="5" w:tplc="040C0005" w:tentative="1">
      <w:start w:val="1"/>
      <w:numFmt w:val="bullet"/>
      <w:lvlText w:val=""/>
      <w:lvlJc w:val="left"/>
      <w:pPr>
        <w:ind w:left="4742" w:hanging="360"/>
      </w:pPr>
      <w:rPr>
        <w:rFonts w:ascii="Wingdings" w:hAnsi="Wingdings" w:hint="default"/>
      </w:rPr>
    </w:lvl>
    <w:lvl w:ilvl="6" w:tplc="040C0001" w:tentative="1">
      <w:start w:val="1"/>
      <w:numFmt w:val="bullet"/>
      <w:lvlText w:val=""/>
      <w:lvlJc w:val="left"/>
      <w:pPr>
        <w:ind w:left="5462" w:hanging="360"/>
      </w:pPr>
      <w:rPr>
        <w:rFonts w:ascii="Symbol" w:hAnsi="Symbol" w:hint="default"/>
      </w:rPr>
    </w:lvl>
    <w:lvl w:ilvl="7" w:tplc="040C0003" w:tentative="1">
      <w:start w:val="1"/>
      <w:numFmt w:val="bullet"/>
      <w:lvlText w:val="o"/>
      <w:lvlJc w:val="left"/>
      <w:pPr>
        <w:ind w:left="6182" w:hanging="360"/>
      </w:pPr>
      <w:rPr>
        <w:rFonts w:ascii="Courier New" w:hAnsi="Courier New" w:cs="Courier New" w:hint="default"/>
      </w:rPr>
    </w:lvl>
    <w:lvl w:ilvl="8" w:tplc="040C0005" w:tentative="1">
      <w:start w:val="1"/>
      <w:numFmt w:val="bullet"/>
      <w:lvlText w:val=""/>
      <w:lvlJc w:val="left"/>
      <w:pPr>
        <w:ind w:left="690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AF2321"/>
    <w:rsid w:val="000D6A71"/>
    <w:rsid w:val="0021490C"/>
    <w:rsid w:val="003F5B96"/>
    <w:rsid w:val="00574C44"/>
    <w:rsid w:val="006B6124"/>
    <w:rsid w:val="006E39AB"/>
    <w:rsid w:val="006F400E"/>
    <w:rsid w:val="00755B39"/>
    <w:rsid w:val="007B73BE"/>
    <w:rsid w:val="007C4859"/>
    <w:rsid w:val="008F407B"/>
    <w:rsid w:val="009438DE"/>
    <w:rsid w:val="00A1629A"/>
    <w:rsid w:val="00A97CDE"/>
    <w:rsid w:val="00AF2321"/>
    <w:rsid w:val="00BD47C8"/>
    <w:rsid w:val="00CD5AA7"/>
    <w:rsid w:val="00D049DA"/>
    <w:rsid w:val="00DF44F2"/>
    <w:rsid w:val="00F46616"/>
    <w:rsid w:val="00F90BA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12"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321"/>
    <w:pPr>
      <w:spacing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AF2321"/>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AF2321"/>
    <w:pPr>
      <w:ind w:left="720"/>
      <w:contextualSpacing/>
    </w:pPr>
  </w:style>
  <w:style w:type="paragraph" w:styleId="En-tte">
    <w:name w:val="header"/>
    <w:basedOn w:val="Normal"/>
    <w:link w:val="En-tteCar"/>
    <w:uiPriority w:val="99"/>
    <w:semiHidden/>
    <w:unhideWhenUsed/>
    <w:rsid w:val="00AF2321"/>
    <w:pPr>
      <w:tabs>
        <w:tab w:val="center" w:pos="4536"/>
        <w:tab w:val="right" w:pos="9072"/>
      </w:tabs>
    </w:pPr>
  </w:style>
  <w:style w:type="character" w:customStyle="1" w:styleId="En-tteCar">
    <w:name w:val="En-tête Car"/>
    <w:basedOn w:val="Policepardfaut"/>
    <w:link w:val="En-tte"/>
    <w:uiPriority w:val="99"/>
    <w:semiHidden/>
    <w:rsid w:val="00AF232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AF2321"/>
    <w:pPr>
      <w:tabs>
        <w:tab w:val="center" w:pos="4536"/>
        <w:tab w:val="right" w:pos="9072"/>
      </w:tabs>
    </w:pPr>
  </w:style>
  <w:style w:type="character" w:customStyle="1" w:styleId="PieddepageCar">
    <w:name w:val="Pied de page Car"/>
    <w:basedOn w:val="Policepardfaut"/>
    <w:link w:val="Pieddepage"/>
    <w:uiPriority w:val="99"/>
    <w:semiHidden/>
    <w:rsid w:val="00AF2321"/>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451</Words>
  <Characters>2481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hinano.paraue</dc:creator>
  <cp:lastModifiedBy>jerome.jannot</cp:lastModifiedBy>
  <cp:revision>3</cp:revision>
  <cp:lastPrinted>2012-11-23T02:22:00Z</cp:lastPrinted>
  <dcterms:created xsi:type="dcterms:W3CDTF">2012-11-23T01:52:00Z</dcterms:created>
  <dcterms:modified xsi:type="dcterms:W3CDTF">2012-11-23T02:24:00Z</dcterms:modified>
</cp:coreProperties>
</file>