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Look w:val="04A0"/>
      </w:tblPr>
      <w:tblGrid>
        <w:gridCol w:w="2254"/>
        <w:gridCol w:w="8095"/>
      </w:tblGrid>
      <w:tr w:rsidR="0093544D" w:rsidTr="005E13C8">
        <w:trPr>
          <w:trHeight w:val="1361"/>
        </w:trPr>
        <w:tc>
          <w:tcPr>
            <w:tcW w:w="2254" w:type="dxa"/>
          </w:tcPr>
          <w:p w:rsidR="0093544D" w:rsidRDefault="00924762" w:rsidP="00A276F2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6" type="#_x0000_t75" alt="TH Logo - Couleurs Bleu Blanc Rouge inversé.png" style="position:absolute;margin-left:4.3pt;margin-top:-24.5pt;width:103.6pt;height:103.8pt;z-index:-1;visibility:visible">
                  <v:imagedata r:id="rId7" o:title="TH Logo - Couleurs Bleu Blanc Rouge inversé"/>
                </v:shape>
              </w:pict>
            </w:r>
          </w:p>
        </w:tc>
        <w:tc>
          <w:tcPr>
            <w:tcW w:w="8095" w:type="dxa"/>
            <w:tcBorders>
              <w:top w:val="thinThickSmallGap" w:sz="36" w:space="0" w:color="FF6600"/>
              <w:bottom w:val="thickThinSmallGap" w:sz="36" w:space="0" w:color="FF6600"/>
            </w:tcBorders>
            <w:vAlign w:val="center"/>
          </w:tcPr>
          <w:p w:rsidR="0093544D" w:rsidRPr="00F649DE" w:rsidRDefault="0093544D" w:rsidP="00A276F2">
            <w:pPr>
              <w:jc w:val="center"/>
              <w:rPr>
                <w:rFonts w:ascii="Calisto MT" w:hAnsi="Calisto MT"/>
                <w:b/>
                <w:color w:val="FF6600"/>
                <w:sz w:val="60"/>
                <w:szCs w:val="60"/>
              </w:rPr>
            </w:pPr>
            <w:r w:rsidRPr="00F649DE">
              <w:rPr>
                <w:rFonts w:ascii="Calisto MT" w:hAnsi="Calisto MT"/>
                <w:b/>
                <w:color w:val="FF6600"/>
                <w:sz w:val="60"/>
                <w:szCs w:val="60"/>
              </w:rPr>
              <w:t>TAHOERAA HUIRAATIRA</w:t>
            </w:r>
          </w:p>
        </w:tc>
      </w:tr>
    </w:tbl>
    <w:p w:rsidR="0093544D" w:rsidRDefault="0093544D" w:rsidP="0093544D">
      <w:pPr>
        <w:rPr>
          <w:sz w:val="16"/>
          <w:szCs w:val="16"/>
        </w:rPr>
      </w:pPr>
    </w:p>
    <w:p w:rsidR="0093544D" w:rsidRPr="0045304B" w:rsidRDefault="0093544D" w:rsidP="005E13C8">
      <w:pPr>
        <w:tabs>
          <w:tab w:val="left" w:pos="5812"/>
          <w:tab w:val="left" w:pos="6946"/>
          <w:tab w:val="right" w:pos="9000"/>
        </w:tabs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ab/>
      </w:r>
      <w:r w:rsidR="005E13C8">
        <w:rPr>
          <w:rFonts w:ascii="Algerian" w:hAnsi="Algerian"/>
          <w:sz w:val="28"/>
          <w:szCs w:val="28"/>
        </w:rPr>
        <w:tab/>
      </w:r>
      <w:r w:rsidRPr="0045304B">
        <w:rPr>
          <w:rFonts w:ascii="Algerian" w:hAnsi="Algerian"/>
          <w:sz w:val="28"/>
          <w:szCs w:val="28"/>
        </w:rPr>
        <w:t xml:space="preserve">POLYNESIE </w:t>
      </w:r>
      <w:r>
        <w:rPr>
          <w:rFonts w:ascii="Algerian" w:hAnsi="Algerian"/>
          <w:sz w:val="28"/>
          <w:szCs w:val="28"/>
        </w:rPr>
        <w:t>FRAN</w:t>
      </w:r>
      <w:r>
        <w:rPr>
          <w:rFonts w:ascii="Algerian" w:hAnsi="Algerian"/>
          <w:caps/>
          <w:sz w:val="28"/>
          <w:szCs w:val="28"/>
        </w:rPr>
        <w:t>ç</w:t>
      </w:r>
      <w:r>
        <w:rPr>
          <w:rFonts w:ascii="Algerian" w:hAnsi="Algerian"/>
          <w:sz w:val="28"/>
          <w:szCs w:val="28"/>
        </w:rPr>
        <w:t>AISE</w:t>
      </w:r>
    </w:p>
    <w:p w:rsidR="0093544D" w:rsidRDefault="0093544D" w:rsidP="005E13C8">
      <w:pPr>
        <w:tabs>
          <w:tab w:val="left" w:pos="6946"/>
        </w:tabs>
        <w:rPr>
          <w:sz w:val="16"/>
          <w:szCs w:val="16"/>
        </w:rPr>
      </w:pPr>
    </w:p>
    <w:p w:rsidR="0093544D" w:rsidRPr="0093544D" w:rsidRDefault="0093544D" w:rsidP="005E13C8">
      <w:pPr>
        <w:tabs>
          <w:tab w:val="left" w:pos="5812"/>
          <w:tab w:val="left" w:pos="6946"/>
          <w:tab w:val="right" w:pos="9000"/>
        </w:tabs>
        <w:jc w:val="both"/>
        <w:rPr>
          <w:i/>
        </w:rPr>
      </w:pPr>
      <w:r w:rsidRPr="0093544D">
        <w:tab/>
      </w:r>
      <w:r w:rsidR="005E13C8">
        <w:tab/>
      </w:r>
      <w:r w:rsidRPr="0093544D">
        <w:rPr>
          <w:i/>
        </w:rPr>
        <w:t xml:space="preserve">Papeete, le </w:t>
      </w:r>
      <w:r w:rsidR="005C3E7B">
        <w:rPr>
          <w:i/>
        </w:rPr>
        <w:t>07 juin 2012</w:t>
      </w:r>
    </w:p>
    <w:p w:rsidR="0093544D" w:rsidRPr="006C7D5F" w:rsidRDefault="0093544D" w:rsidP="005E13C8">
      <w:pPr>
        <w:tabs>
          <w:tab w:val="left" w:pos="5812"/>
          <w:tab w:val="left" w:pos="6120"/>
          <w:tab w:val="left" w:pos="6946"/>
        </w:tabs>
        <w:jc w:val="both"/>
        <w:rPr>
          <w:i/>
          <w:sz w:val="16"/>
          <w:szCs w:val="16"/>
        </w:rPr>
      </w:pPr>
    </w:p>
    <w:p w:rsidR="0093544D" w:rsidRDefault="0093544D" w:rsidP="001D1ABE">
      <w:pPr>
        <w:tabs>
          <w:tab w:val="left" w:pos="5812"/>
          <w:tab w:val="left" w:pos="6120"/>
          <w:tab w:val="left" w:pos="6946"/>
        </w:tabs>
        <w:jc w:val="both"/>
        <w:rPr>
          <w:sz w:val="16"/>
          <w:szCs w:val="16"/>
        </w:rPr>
      </w:pPr>
      <w:r w:rsidRPr="0093544D">
        <w:rPr>
          <w:i/>
        </w:rPr>
        <w:tab/>
      </w:r>
      <w:r w:rsidR="005E13C8">
        <w:rPr>
          <w:i/>
        </w:rPr>
        <w:tab/>
      </w:r>
      <w:r w:rsidR="005E13C8">
        <w:rPr>
          <w:i/>
        </w:rPr>
        <w:tab/>
      </w:r>
    </w:p>
    <w:p w:rsidR="00FE12AE" w:rsidRDefault="00FE12AE" w:rsidP="00FE12AE">
      <w:pPr>
        <w:tabs>
          <w:tab w:val="left" w:pos="2410"/>
          <w:tab w:val="left" w:pos="5387"/>
        </w:tabs>
        <w:ind w:firstLine="851"/>
        <w:jc w:val="center"/>
        <w:rPr>
          <w:b/>
        </w:rPr>
      </w:pPr>
    </w:p>
    <w:p w:rsidR="005C3E7B" w:rsidRPr="004D0C25" w:rsidRDefault="004D0C25" w:rsidP="00FE12AE">
      <w:pPr>
        <w:tabs>
          <w:tab w:val="left" w:pos="2410"/>
          <w:tab w:val="left" w:pos="5387"/>
        </w:tabs>
        <w:ind w:firstLine="851"/>
        <w:jc w:val="center"/>
        <w:rPr>
          <w:sz w:val="32"/>
          <w:szCs w:val="32"/>
        </w:rPr>
      </w:pPr>
      <w:r w:rsidRPr="004D0C25">
        <w:rPr>
          <w:sz w:val="32"/>
          <w:szCs w:val="32"/>
        </w:rPr>
        <w:t xml:space="preserve">Le </w:t>
      </w:r>
      <w:proofErr w:type="spellStart"/>
      <w:r w:rsidRPr="004D0C25">
        <w:rPr>
          <w:sz w:val="32"/>
          <w:szCs w:val="32"/>
        </w:rPr>
        <w:t>Tavini</w:t>
      </w:r>
      <w:proofErr w:type="spellEnd"/>
      <w:r w:rsidRPr="004D0C25">
        <w:rPr>
          <w:sz w:val="32"/>
          <w:szCs w:val="32"/>
        </w:rPr>
        <w:t xml:space="preserve"> fuit le débat sur TNTV</w:t>
      </w:r>
    </w:p>
    <w:p w:rsidR="005C3E7B" w:rsidRDefault="005C3E7B" w:rsidP="00FE12AE">
      <w:pPr>
        <w:tabs>
          <w:tab w:val="left" w:pos="2410"/>
          <w:tab w:val="left" w:pos="5387"/>
        </w:tabs>
        <w:ind w:firstLine="851"/>
        <w:jc w:val="center"/>
        <w:rPr>
          <w:b/>
        </w:rPr>
      </w:pPr>
    </w:p>
    <w:p w:rsidR="005C3E7B" w:rsidRP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  <w:r w:rsidRPr="00ED4398">
        <w:t>Dans le cadre du deuxième tour des élections législatives, TNTV avait programmé une série de débats entre les candidats en lice.</w:t>
      </w:r>
    </w:p>
    <w:p w:rsidR="00ED4398" w:rsidRP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</w:p>
    <w:p w:rsidR="00ED4398" w:rsidRDefault="004D0C25" w:rsidP="00ED4398">
      <w:pPr>
        <w:tabs>
          <w:tab w:val="left" w:pos="2410"/>
          <w:tab w:val="left" w:pos="5387"/>
        </w:tabs>
        <w:ind w:firstLine="851"/>
        <w:jc w:val="both"/>
      </w:pPr>
      <w:r>
        <w:t>Tous</w:t>
      </w:r>
      <w:r w:rsidR="00ED4398" w:rsidRPr="00ED4398">
        <w:t xml:space="preserve"> candidats ont été informés, le 21 mai 2012, que ces débats seraient enregistrés le vendredi 8 juin.</w:t>
      </w: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  <w:r>
        <w:t>Les candidats du Tahoeraa Huiraatira ont organisé leurs agendas en fonction de cette date</w:t>
      </w:r>
      <w:r w:rsidR="004D0C25">
        <w:t xml:space="preserve"> et avaient répondu favorablement dès le lendemain du premier tour</w:t>
      </w:r>
      <w:r>
        <w:t>.</w:t>
      </w: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  <w:r>
        <w:t xml:space="preserve">Or, depuis le début de la semaine, les candidats du </w:t>
      </w:r>
      <w:proofErr w:type="spellStart"/>
      <w:r>
        <w:t>Tavini</w:t>
      </w:r>
      <w:proofErr w:type="spellEnd"/>
      <w:r>
        <w:t xml:space="preserve">-UPLD n’ont cessé de tergiverser en voulant repousser la date d’enregistrement. Ce matin, encore, aucune décision ferme des indépendantistes n’était connue avant que nous n’apprenions vers 10h30 que M. Pierre </w:t>
      </w:r>
      <w:proofErr w:type="spellStart"/>
      <w:r>
        <w:t>Frébault</w:t>
      </w:r>
      <w:proofErr w:type="spellEnd"/>
      <w:r>
        <w:t xml:space="preserve"> refusait la date d’enregistrement prévue par TNTV.</w:t>
      </w: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  <w:r>
        <w:t xml:space="preserve">Comme il n’appartient pas aux candidats </w:t>
      </w:r>
      <w:proofErr w:type="spellStart"/>
      <w:r>
        <w:t>Tavini</w:t>
      </w:r>
      <w:proofErr w:type="spellEnd"/>
      <w:r>
        <w:t>-UPLD de faire la programmation de TNTV, les débats ont donc été annulés.</w:t>
      </w: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</w:p>
    <w:p w:rsidR="00ED4398" w:rsidRDefault="00ED4398" w:rsidP="00ED4398">
      <w:pPr>
        <w:tabs>
          <w:tab w:val="left" w:pos="2410"/>
          <w:tab w:val="left" w:pos="5387"/>
        </w:tabs>
        <w:ind w:firstLine="851"/>
        <w:jc w:val="both"/>
      </w:pPr>
      <w:r>
        <w:t>Le Tahoeraa Huiraatira prend acte de la décision des indépendantistes</w:t>
      </w:r>
      <w:r w:rsidR="004D0C25">
        <w:t xml:space="preserve">, et plus particulièrement de Pierre </w:t>
      </w:r>
      <w:proofErr w:type="spellStart"/>
      <w:r w:rsidR="004D0C25">
        <w:t>Frébault</w:t>
      </w:r>
      <w:proofErr w:type="spellEnd"/>
      <w:r w:rsidR="004D0C25">
        <w:t xml:space="preserve">, qui sous des prétextes fallacieux ont refusé </w:t>
      </w:r>
      <w:r>
        <w:t>le débat</w:t>
      </w:r>
      <w:r w:rsidR="004D0C25">
        <w:t xml:space="preserve"> avec les candidats du Tahoeraa Huiraatira, privant ainsi les téléspectateurs de ce rendez-vous démocratique.</w:t>
      </w:r>
    </w:p>
    <w:p w:rsidR="004D0C25" w:rsidRDefault="004D0C25" w:rsidP="00ED4398">
      <w:pPr>
        <w:tabs>
          <w:tab w:val="left" w:pos="2410"/>
          <w:tab w:val="left" w:pos="5387"/>
        </w:tabs>
        <w:ind w:firstLine="851"/>
        <w:jc w:val="both"/>
      </w:pPr>
    </w:p>
    <w:p w:rsidR="004D0C25" w:rsidRDefault="004D0C25" w:rsidP="00ED4398">
      <w:pPr>
        <w:tabs>
          <w:tab w:val="left" w:pos="2410"/>
          <w:tab w:val="left" w:pos="5387"/>
        </w:tabs>
        <w:ind w:firstLine="851"/>
        <w:jc w:val="both"/>
      </w:pPr>
      <w:r>
        <w:t>Il note également que les candidats indépendantistes sont incapables de s’organiser pour répondre en temps et en heure aux invitations des médias.</w:t>
      </w:r>
    </w:p>
    <w:p w:rsidR="004D0C25" w:rsidRDefault="004D0C25" w:rsidP="00ED4398">
      <w:pPr>
        <w:tabs>
          <w:tab w:val="left" w:pos="2410"/>
          <w:tab w:val="left" w:pos="5387"/>
        </w:tabs>
        <w:ind w:firstLine="851"/>
        <w:jc w:val="both"/>
      </w:pPr>
    </w:p>
    <w:p w:rsidR="004D0C25" w:rsidRPr="00ED4398" w:rsidRDefault="004D0C25" w:rsidP="00ED4398">
      <w:pPr>
        <w:tabs>
          <w:tab w:val="left" w:pos="2410"/>
          <w:tab w:val="left" w:pos="5387"/>
        </w:tabs>
        <w:ind w:firstLine="851"/>
        <w:jc w:val="both"/>
      </w:pPr>
      <w:r>
        <w:t>Il remercie enfin les équipes de TNTV qui s’étaient mobilisées de longue date en vue de l’organisation de ces débats.</w:t>
      </w:r>
    </w:p>
    <w:sectPr w:rsidR="004D0C25" w:rsidRPr="00ED4398" w:rsidSect="00574E16">
      <w:headerReference w:type="default" r:id="rId8"/>
      <w:footerReference w:type="default" r:id="rId9"/>
      <w:pgSz w:w="11906" w:h="16838"/>
      <w:pgMar w:top="851" w:right="566" w:bottom="426" w:left="709" w:header="113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66" w:rsidRDefault="00E62D66" w:rsidP="0093544D">
      <w:r>
        <w:separator/>
      </w:r>
    </w:p>
  </w:endnote>
  <w:endnote w:type="continuationSeparator" w:id="0">
    <w:p w:rsidR="00E62D66" w:rsidRDefault="00E62D66" w:rsidP="00935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bottom w:val="single" w:sz="18" w:space="0" w:color="0000FF"/>
      </w:tblBorders>
      <w:tblLook w:val="04A0"/>
    </w:tblPr>
    <w:tblGrid>
      <w:gridCol w:w="10314"/>
    </w:tblGrid>
    <w:tr w:rsidR="00BC08B8" w:rsidRPr="00652B7E" w:rsidTr="00924762">
      <w:trPr>
        <w:trHeight w:val="57"/>
      </w:trPr>
      <w:tc>
        <w:tcPr>
          <w:tcW w:w="10314" w:type="dxa"/>
        </w:tcPr>
        <w:p w:rsidR="00BC08B8" w:rsidRPr="00924762" w:rsidRDefault="00BC08B8" w:rsidP="00924762">
          <w:pPr>
            <w:jc w:val="center"/>
            <w:rPr>
              <w:i/>
              <w:noProof/>
              <w:color w:val="FF6600"/>
              <w:sz w:val="6"/>
              <w:szCs w:val="16"/>
              <w:u w:val="single"/>
            </w:rPr>
          </w:pPr>
        </w:p>
      </w:tc>
    </w:tr>
  </w:tbl>
  <w:p w:rsidR="00BC08B8" w:rsidRPr="00BC08B8" w:rsidRDefault="00BC08B8" w:rsidP="00BC08B8">
    <w:pPr>
      <w:jc w:val="center"/>
      <w:rPr>
        <w:i/>
        <w:noProof/>
        <w:color w:val="FF6600"/>
        <w:sz w:val="22"/>
      </w:rPr>
    </w:pPr>
    <w:r w:rsidRPr="00524372">
      <w:rPr>
        <w:i/>
        <w:noProof/>
        <w:color w:val="FF6600"/>
        <w:sz w:val="22"/>
      </w:rPr>
      <w:t>Boite postale 471 – Papeete –Tahiti – Téléphone: (689) 41 60 83 / Fax: (689) 41 60 11</w:t>
    </w:r>
    <w:r w:rsidRPr="00524372">
      <w:rPr>
        <w:i/>
        <w:noProof/>
        <w:color w:val="FF6600"/>
        <w:sz w:val="22"/>
      </w:rPr>
      <w:br/>
      <w:t xml:space="preserve">Site internet: </w:t>
    </w:r>
    <w:r w:rsidRPr="005A36DD">
      <w:rPr>
        <w:i/>
        <w:noProof/>
        <w:color w:val="0000FF"/>
        <w:sz w:val="22"/>
        <w:u w:val="single"/>
      </w:rPr>
      <w:t>www.tahoeraahuiraatira.pf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66" w:rsidRDefault="00E62D66" w:rsidP="0093544D">
      <w:r>
        <w:separator/>
      </w:r>
    </w:p>
  </w:footnote>
  <w:footnote w:type="continuationSeparator" w:id="0">
    <w:p w:rsidR="00E62D66" w:rsidRDefault="00E62D66" w:rsidP="00935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B70" w:rsidRDefault="00344B70">
    <w:pPr>
      <w:pStyle w:val="En-tte"/>
      <w:jc w:val="center"/>
    </w:pPr>
  </w:p>
  <w:p w:rsidR="00344B70" w:rsidRDefault="00344B7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5B1B"/>
    <w:multiLevelType w:val="hybridMultilevel"/>
    <w:tmpl w:val="A6626858"/>
    <w:lvl w:ilvl="0" w:tplc="A168C56E">
      <w:numFmt w:val="bullet"/>
      <w:lvlText w:val="-"/>
      <w:lvlJc w:val="left"/>
      <w:pPr>
        <w:ind w:left="16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44D"/>
    <w:rsid w:val="000A71E2"/>
    <w:rsid w:val="000D3157"/>
    <w:rsid w:val="000D47EE"/>
    <w:rsid w:val="00195245"/>
    <w:rsid w:val="001D1ABE"/>
    <w:rsid w:val="001E2ED9"/>
    <w:rsid w:val="00243B64"/>
    <w:rsid w:val="00344B70"/>
    <w:rsid w:val="004D0C25"/>
    <w:rsid w:val="004E74CB"/>
    <w:rsid w:val="00574E16"/>
    <w:rsid w:val="005A36DD"/>
    <w:rsid w:val="005C3E7B"/>
    <w:rsid w:val="005E13C8"/>
    <w:rsid w:val="006C7D5F"/>
    <w:rsid w:val="00924762"/>
    <w:rsid w:val="0093544D"/>
    <w:rsid w:val="009B51E5"/>
    <w:rsid w:val="00A0508D"/>
    <w:rsid w:val="00A276F2"/>
    <w:rsid w:val="00B77413"/>
    <w:rsid w:val="00B95D63"/>
    <w:rsid w:val="00BC08B8"/>
    <w:rsid w:val="00C70DAA"/>
    <w:rsid w:val="00CC5ED1"/>
    <w:rsid w:val="00D13387"/>
    <w:rsid w:val="00DF203F"/>
    <w:rsid w:val="00E20B40"/>
    <w:rsid w:val="00E26E61"/>
    <w:rsid w:val="00E62D66"/>
    <w:rsid w:val="00E84488"/>
    <w:rsid w:val="00ED4398"/>
    <w:rsid w:val="00FB0D47"/>
    <w:rsid w:val="00FE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4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-EnteteTitreGEDA">
    <w:name w:val="- Entete:Titre                GEDA"/>
    <w:basedOn w:val="Normal"/>
    <w:rsid w:val="0093544D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</w:pPr>
    <w:rPr>
      <w:rFonts w:ascii="Bookman Old Style" w:hAnsi="Bookman Old Style"/>
      <w:caps/>
      <w:spacing w:val="8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3544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544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544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3544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44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13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13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13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13C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5E13C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A36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hinano.paraue</dc:creator>
  <cp:keywords/>
  <cp:lastModifiedBy>jerome.jannot</cp:lastModifiedBy>
  <cp:revision>3</cp:revision>
  <cp:lastPrinted>2012-02-06T22:41:00Z</cp:lastPrinted>
  <dcterms:created xsi:type="dcterms:W3CDTF">2012-06-07T21:11:00Z</dcterms:created>
  <dcterms:modified xsi:type="dcterms:W3CDTF">2012-06-07T21:27:00Z</dcterms:modified>
</cp:coreProperties>
</file>