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A5" w:rsidRPr="008843A5" w:rsidRDefault="008843A5" w:rsidP="008843A5">
      <w:pPr>
        <w:spacing w:after="0" w:line="360" w:lineRule="atLeast"/>
        <w:ind w:left="150"/>
        <w:outlineLvl w:val="1"/>
        <w:rPr>
          <w:rFonts w:ascii="Arial" w:eastAsia="Times New Roman" w:hAnsi="Arial" w:cs="Arial"/>
          <w:b/>
          <w:bCs/>
          <w:color w:val="CCCCCC"/>
          <w:sz w:val="23"/>
          <w:szCs w:val="23"/>
          <w:shd w:val="clear" w:color="auto" w:fill="FFFDEA"/>
          <w:lang w:eastAsia="fr-FR"/>
        </w:rPr>
      </w:pPr>
      <w:hyperlink r:id="rId4" w:tooltip="Taxe équipements électriques: La Politique de l'Autruche." w:history="1">
        <w:r w:rsidRPr="008843A5">
          <w:rPr>
            <w:rFonts w:ascii="Arial" w:eastAsia="Times New Roman" w:hAnsi="Arial" w:cs="Arial"/>
            <w:color w:val="A7430F"/>
            <w:sz w:val="30"/>
            <w:u w:val="single"/>
            <w:lang w:eastAsia="fr-FR"/>
          </w:rPr>
          <w:t>Taxe équipements électriques: La Politique de l'Autruche.</w:t>
        </w:r>
      </w:hyperlink>
    </w:p>
    <w:p w:rsidR="008843A5" w:rsidRPr="008843A5" w:rsidRDefault="008843A5" w:rsidP="008843A5">
      <w:pPr>
        <w:spacing w:line="270" w:lineRule="atLeast"/>
        <w:jc w:val="center"/>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b/>
          <w:bCs/>
          <w:color w:val="464032"/>
          <w:sz w:val="24"/>
          <w:szCs w:val="24"/>
          <w:lang w:eastAsia="fr-FR"/>
        </w:rPr>
        <w:t>Instauration d’une taxe sur les équipements électriques affectée au FRPH</w:t>
      </w:r>
    </w:p>
    <w:p w:rsidR="008843A5" w:rsidRPr="008843A5" w:rsidRDefault="008843A5" w:rsidP="008843A5">
      <w:pPr>
        <w:spacing w:line="270" w:lineRule="atLeast"/>
        <w:jc w:val="center"/>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b/>
          <w:bCs/>
          <w:color w:val="464032"/>
          <w:sz w:val="24"/>
          <w:szCs w:val="24"/>
          <w:lang w:eastAsia="fr-FR"/>
        </w:rPr>
        <w:t>Séance du 01 09 2011</w:t>
      </w:r>
    </w:p>
    <w:p w:rsidR="008843A5" w:rsidRPr="008843A5" w:rsidRDefault="008843A5" w:rsidP="008843A5">
      <w:pPr>
        <w:spacing w:line="270" w:lineRule="atLeast"/>
        <w:jc w:val="both"/>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color w:val="464032"/>
          <w:sz w:val="24"/>
          <w:szCs w:val="24"/>
          <w:shd w:val="clear" w:color="auto" w:fill="FFFDEA"/>
          <w:lang w:eastAsia="fr-FR"/>
        </w:rPr>
        <w:t>Pourquoi la question de mettre en place une nouvelle perfusion du FRPH revient-elle une fois de plus. Le malade est toujours malade et ce n’est pas votre proposition qui le guérira !</w:t>
      </w:r>
    </w:p>
    <w:p w:rsidR="008843A5" w:rsidRPr="008843A5" w:rsidRDefault="008843A5" w:rsidP="008843A5">
      <w:pPr>
        <w:spacing w:line="270" w:lineRule="atLeast"/>
        <w:jc w:val="both"/>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color w:val="464032"/>
          <w:sz w:val="24"/>
          <w:szCs w:val="24"/>
          <w:shd w:val="clear" w:color="auto" w:fill="FFFDEA"/>
          <w:lang w:eastAsia="fr-FR"/>
        </w:rPr>
        <w:t>Le FRPH avait sa raison d’être lorsque le prix des hydrocarbures oscillait, tantôt à la hausse, tantôt à la baisse, autour d’une tendance générale stable. Aujourd’hui la tendance générale à la hausse est inéluctable.</w:t>
      </w:r>
    </w:p>
    <w:p w:rsidR="008843A5" w:rsidRPr="008843A5" w:rsidRDefault="008843A5" w:rsidP="008843A5">
      <w:pPr>
        <w:spacing w:line="270" w:lineRule="atLeast"/>
        <w:jc w:val="both"/>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color w:val="464032"/>
          <w:sz w:val="24"/>
          <w:szCs w:val="24"/>
          <w:shd w:val="clear" w:color="auto" w:fill="FFFDEA"/>
          <w:lang w:eastAsia="fr-FR"/>
        </w:rPr>
        <w:t>Le rapport dit avec raison qu’il ne s’agit plus de réguler mais de soutenir les prix de certains hydrocarbures à usage professionnel ou utilisés pour la production d’électricité thermique pour éviter les hausses importantes de l’électricité ou de certains hydrocarbures.</w:t>
      </w:r>
    </w:p>
    <w:p w:rsidR="008843A5" w:rsidRPr="008843A5" w:rsidRDefault="008843A5" w:rsidP="008843A5">
      <w:pPr>
        <w:spacing w:line="270" w:lineRule="atLeast"/>
        <w:jc w:val="both"/>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color w:val="464032"/>
          <w:sz w:val="24"/>
          <w:szCs w:val="24"/>
          <w:shd w:val="clear" w:color="auto" w:fill="FFFDEA"/>
          <w:lang w:eastAsia="fr-FR"/>
        </w:rPr>
        <w:t>Jusqu’à quand pourra-t-on engloutir des milliards et continuer à faire la politique de l’autruche, sans définir une politique énergétique de long terme, respectueuse du développement durable ? Et redéfinir une politique interventionniste bien ciblée pour pallier l’impact el le coût de l’énergie pour certains usages ?</w:t>
      </w:r>
    </w:p>
    <w:p w:rsidR="008843A5" w:rsidRPr="008843A5" w:rsidRDefault="008843A5" w:rsidP="008843A5">
      <w:pPr>
        <w:spacing w:line="270" w:lineRule="atLeast"/>
        <w:jc w:val="both"/>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color w:val="464032"/>
          <w:sz w:val="24"/>
          <w:szCs w:val="24"/>
          <w:shd w:val="clear" w:color="auto" w:fill="FFFDEA"/>
          <w:lang w:eastAsia="fr-FR"/>
        </w:rPr>
        <w:t>Les gouvernements réagissent à court terme, à la petite semaine. On puise dans le pot commun du budget général pour alimenter la perfusion du FRPH. Combien de milliards a-t-on englouti dans le FRPH depuis 2005 ? Combien en mettra-t-on encore ?</w:t>
      </w:r>
    </w:p>
    <w:p w:rsidR="008843A5" w:rsidRPr="008843A5" w:rsidRDefault="008843A5" w:rsidP="008843A5">
      <w:pPr>
        <w:spacing w:line="270" w:lineRule="atLeast"/>
        <w:jc w:val="both"/>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color w:val="464032"/>
          <w:sz w:val="24"/>
          <w:szCs w:val="24"/>
          <w:shd w:val="clear" w:color="auto" w:fill="FFFDEA"/>
          <w:lang w:eastAsia="fr-FR"/>
        </w:rPr>
        <w:t>Aujourd’hui ce sont les automobilistes qui soutiennent les professionnels, en payant leur essence plus cher que son coût de revient.</w:t>
      </w:r>
    </w:p>
    <w:p w:rsidR="008843A5" w:rsidRPr="008843A5" w:rsidRDefault="008843A5" w:rsidP="008843A5">
      <w:pPr>
        <w:spacing w:line="270" w:lineRule="atLeast"/>
        <w:jc w:val="both"/>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color w:val="464032"/>
          <w:sz w:val="24"/>
          <w:szCs w:val="24"/>
          <w:shd w:val="clear" w:color="auto" w:fill="FFFDEA"/>
          <w:lang w:eastAsia="fr-FR"/>
        </w:rPr>
        <w:t>Faut-il continuer à soutenir le prix du fuel de vérité des prix et pour contenir le prix de la baguette ? Son prix artificiellement bas en fait un produit dévalorisé, gaspillé. Pourquoi ne pas pratiquer la vérité des prix et transférer le coût des hydrocarbures des boulangers dans des aides ciblées en faveur des familles modestes pour augmenter véritablement leur pouvoir d’achat ?</w:t>
      </w:r>
    </w:p>
    <w:p w:rsidR="008843A5" w:rsidRPr="008843A5" w:rsidRDefault="008843A5" w:rsidP="008843A5">
      <w:pPr>
        <w:spacing w:line="270" w:lineRule="atLeast"/>
        <w:jc w:val="both"/>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color w:val="464032"/>
          <w:sz w:val="24"/>
          <w:szCs w:val="24"/>
          <w:shd w:val="clear" w:color="auto" w:fill="FFFDEA"/>
          <w:lang w:eastAsia="fr-FR"/>
        </w:rPr>
        <w:t>Monsieur le ministre, a un problème de fond vous répondez en proposant une nouvelle taxe qui ne rapportera que 300 millions. Une goutte d’eau par rapport aux besoins. Vous taxez tous les produits consommateurs d’électricité sans distinguer ceux qui consomment beaucoup et ceux qui sont économiques d’énergie. Comment monsieur le ministre en charge du développement durable est-il d’accord avec ce choix qui va à l’encontre de ses convictions ?</w:t>
      </w:r>
    </w:p>
    <w:p w:rsidR="008843A5" w:rsidRPr="008843A5" w:rsidRDefault="008843A5" w:rsidP="008843A5">
      <w:pPr>
        <w:spacing w:line="270" w:lineRule="atLeast"/>
        <w:jc w:val="both"/>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color w:val="464032"/>
          <w:sz w:val="24"/>
          <w:szCs w:val="24"/>
          <w:shd w:val="clear" w:color="auto" w:fill="FFFDEA"/>
          <w:lang w:eastAsia="fr-FR"/>
        </w:rPr>
        <w:t>Nous ne pouvons pas être d’accord avec votre proposition aussi nous voterons contre votre projet d’instaurer une nouvelle taxe.</w:t>
      </w:r>
    </w:p>
    <w:p w:rsidR="008843A5" w:rsidRPr="008843A5" w:rsidRDefault="008843A5" w:rsidP="008843A5">
      <w:pPr>
        <w:spacing w:line="270" w:lineRule="atLeast"/>
        <w:rPr>
          <w:rFonts w:ascii="Arial" w:eastAsia="Times New Roman" w:hAnsi="Arial" w:cs="Arial"/>
          <w:color w:val="464032"/>
          <w:sz w:val="18"/>
          <w:szCs w:val="18"/>
          <w:shd w:val="clear" w:color="auto" w:fill="FFFDEA"/>
          <w:lang w:eastAsia="fr-FR"/>
        </w:rPr>
      </w:pPr>
      <w:r w:rsidRPr="008843A5">
        <w:rPr>
          <w:rFonts w:ascii="Calibri" w:eastAsia="Times New Roman" w:hAnsi="Calibri" w:cs="Calibri"/>
          <w:b/>
          <w:bCs/>
          <w:color w:val="464032"/>
          <w:sz w:val="24"/>
          <w:szCs w:val="24"/>
          <w:u w:val="single"/>
          <w:lang w:eastAsia="fr-FR"/>
        </w:rPr>
        <w:t> </w:t>
      </w:r>
    </w:p>
    <w:p w:rsidR="008843A5" w:rsidRPr="008843A5" w:rsidRDefault="008843A5" w:rsidP="008843A5">
      <w:pPr>
        <w:spacing w:after="0" w:line="270" w:lineRule="atLeast"/>
        <w:rPr>
          <w:rFonts w:ascii="Arial" w:eastAsia="Times New Roman" w:hAnsi="Arial" w:cs="Arial"/>
          <w:color w:val="464032"/>
          <w:sz w:val="18"/>
          <w:szCs w:val="18"/>
          <w:shd w:val="clear" w:color="auto" w:fill="FFFDEA"/>
          <w:lang w:eastAsia="fr-FR"/>
        </w:rPr>
      </w:pPr>
      <w:r w:rsidRPr="008843A5">
        <w:rPr>
          <w:rFonts w:ascii="Arial" w:eastAsia="Times New Roman" w:hAnsi="Arial" w:cs="Arial"/>
          <w:b/>
          <w:bCs/>
          <w:color w:val="464032"/>
          <w:sz w:val="24"/>
          <w:szCs w:val="24"/>
          <w:u w:val="single"/>
          <w:lang w:eastAsia="fr-FR"/>
        </w:rPr>
        <w:t>Armelle Merceron.</w:t>
      </w:r>
    </w:p>
    <w:p w:rsidR="00FE7AF8" w:rsidRDefault="00FE7AF8"/>
    <w:sectPr w:rsidR="00FE7AF8" w:rsidSect="00FE7A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843A5"/>
    <w:rsid w:val="008843A5"/>
    <w:rsid w:val="00FE7A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AF8"/>
  </w:style>
  <w:style w:type="paragraph" w:styleId="Titre2">
    <w:name w:val="heading 2"/>
    <w:basedOn w:val="Normal"/>
    <w:link w:val="Titre2Car"/>
    <w:uiPriority w:val="9"/>
    <w:qFormat/>
    <w:rsid w:val="008843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843A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843A5"/>
    <w:rPr>
      <w:color w:val="0000FF"/>
      <w:u w:val="single"/>
    </w:rPr>
  </w:style>
  <w:style w:type="paragraph" w:styleId="NormalWeb">
    <w:name w:val="Normal (Web)"/>
    <w:basedOn w:val="Normal"/>
    <w:uiPriority w:val="99"/>
    <w:semiHidden/>
    <w:unhideWhenUsed/>
    <w:rsid w:val="008843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43A5"/>
    <w:rPr>
      <w:b/>
      <w:bCs/>
    </w:rPr>
  </w:style>
</w:styles>
</file>

<file path=word/webSettings.xml><?xml version="1.0" encoding="utf-8"?>
<w:webSettings xmlns:r="http://schemas.openxmlformats.org/officeDocument/2006/relationships" xmlns:w="http://schemas.openxmlformats.org/wordprocessingml/2006/main">
  <w:divs>
    <w:div w:id="1429623303">
      <w:bodyDiv w:val="1"/>
      <w:marLeft w:val="0"/>
      <w:marRight w:val="0"/>
      <w:marTop w:val="0"/>
      <w:marBottom w:val="0"/>
      <w:divBdr>
        <w:top w:val="none" w:sz="0" w:space="0" w:color="auto"/>
        <w:left w:val="none" w:sz="0" w:space="0" w:color="auto"/>
        <w:bottom w:val="none" w:sz="0" w:space="0" w:color="auto"/>
        <w:right w:val="none" w:sz="0" w:space="0" w:color="auto"/>
      </w:divBdr>
      <w:divsChild>
        <w:div w:id="591593600">
          <w:marLeft w:val="0"/>
          <w:marRight w:val="0"/>
          <w:marTop w:val="0"/>
          <w:marBottom w:val="0"/>
          <w:divBdr>
            <w:top w:val="none" w:sz="0" w:space="0" w:color="auto"/>
            <w:left w:val="none" w:sz="0" w:space="0" w:color="auto"/>
            <w:bottom w:val="none" w:sz="0" w:space="0" w:color="auto"/>
            <w:right w:val="none" w:sz="0" w:space="0" w:color="auto"/>
          </w:divBdr>
        </w:div>
        <w:div w:id="901254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a-ora-te-fenua.com/article-taxe-equipements-electriques-la-politique-de-l-autruche-831114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2272</Characters>
  <Application>Microsoft Office Word</Application>
  <DocSecurity>0</DocSecurity>
  <Lines>18</Lines>
  <Paragraphs>5</Paragraphs>
  <ScaleCrop>false</ScaleCrop>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1</cp:revision>
  <dcterms:created xsi:type="dcterms:W3CDTF">2011-09-02T00:11:00Z</dcterms:created>
  <dcterms:modified xsi:type="dcterms:W3CDTF">2011-09-02T00:12:00Z</dcterms:modified>
</cp:coreProperties>
</file>